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Title"/>
        <w:jc w:val="right"/>
        <w:rPr>
          <w:sz w:val="24"/>
          <w:szCs w:val="24"/>
        </w:rPr>
      </w:pPr>
      <w:r>
        <w:rPr>
          <w:color w:val="000000"/>
          <w:sz w:val="24"/>
          <w:szCs w:val="24"/>
        </w:rPr>
        <w:t>ПРОЕКТ</w:t>
      </w:r>
    </w:p>
    <w:p>
      <w:pPr>
        <w:pStyle w:val="ConsPlusTitle"/>
        <w:jc w:val="center"/>
        <w:rPr>
          <w:color w:val="000000"/>
        </w:rPr>
      </w:pPr>
      <w:r>
        <w:rPr>
          <w:color w:val="000000"/>
        </w:rPr>
      </w:r>
    </w:p>
    <w:p>
      <w:pPr>
        <w:pStyle w:val="ConsPlusTitle"/>
        <w:jc w:val="center"/>
        <w:rPr>
          <w:sz w:val="24"/>
          <w:szCs w:val="24"/>
        </w:rPr>
      </w:pPr>
      <w:r>
        <w:rPr>
          <w:color w:val="000000"/>
          <w:sz w:val="24"/>
          <w:szCs w:val="24"/>
        </w:rPr>
        <w:t xml:space="preserve">СОВЕТ ДЕПУТАТОВ </w:t>
      </w:r>
    </w:p>
    <w:p>
      <w:pPr>
        <w:pStyle w:val="ConsPlusTitle"/>
        <w:jc w:val="center"/>
        <w:rPr>
          <w:color w:val="000000"/>
          <w:sz w:val="28"/>
        </w:rPr>
      </w:pPr>
      <w:r>
        <w:rPr>
          <w:rFonts w:eastAsia="Calibri"/>
          <w:color w:val="000000"/>
          <w:sz w:val="24"/>
          <w:szCs w:val="24"/>
        </w:rPr>
        <w:t>МУНИЦИПАЛЬНОГО ОБРАЗОВАНИЯ</w:t>
      </w:r>
      <w:r>
        <w:rPr>
          <w:color w:val="000000"/>
          <w:sz w:val="24"/>
          <w:szCs w:val="24"/>
        </w:rPr>
        <w:t xml:space="preserve"> </w:t>
      </w:r>
    </w:p>
    <w:p>
      <w:pPr>
        <w:pStyle w:val="ConsPlusTitle"/>
        <w:jc w:val="center"/>
        <w:rPr>
          <w:color w:val="000000"/>
        </w:rPr>
      </w:pPr>
      <w:r>
        <w:rPr>
          <w:color w:val="000000"/>
          <w:sz w:val="24"/>
          <w:szCs w:val="24"/>
        </w:rPr>
        <w:t xml:space="preserve">ЗАЛЕСОВСКИЙ СЕЛЬСОВЕТ </w:t>
      </w:r>
    </w:p>
    <w:p>
      <w:pPr>
        <w:pStyle w:val="ConsPlusTitle"/>
        <w:jc w:val="center"/>
        <w:rPr>
          <w:color w:val="000000"/>
        </w:rPr>
      </w:pPr>
      <w:r>
        <w:rPr>
          <w:color w:val="000000"/>
          <w:sz w:val="24"/>
          <w:szCs w:val="24"/>
        </w:rPr>
        <w:t>КРАСНОГВАРДЕЙСКОГО РАЙОНА</w:t>
      </w:r>
    </w:p>
    <w:p>
      <w:pPr>
        <w:pStyle w:val="ConsPlusTitle"/>
        <w:jc w:val="center"/>
        <w:rPr>
          <w:rFonts w:cs="Times New Roman"/>
          <w:color w:val="000000"/>
        </w:rPr>
      </w:pPr>
      <w:r>
        <w:rPr>
          <w:color w:val="000000"/>
          <w:sz w:val="24"/>
          <w:szCs w:val="24"/>
        </w:rPr>
        <w:t>ОРЕНБУРГСКОЙ ОБЛАСТИ</w:t>
      </w:r>
    </w:p>
    <w:p>
      <w:pPr>
        <w:pStyle w:val="ConsPlusTitle"/>
        <w:jc w:val="center"/>
        <w:rPr>
          <w:rFonts w:cs="Times New Roman"/>
          <w:color w:val="000000"/>
          <w:sz w:val="24"/>
          <w:szCs w:val="24"/>
        </w:rPr>
      </w:pPr>
      <w:r>
        <w:rPr>
          <w:rFonts w:cs="Times New Roman"/>
          <w:color w:val="000000"/>
          <w:sz w:val="24"/>
          <w:szCs w:val="24"/>
        </w:rPr>
      </w:r>
    </w:p>
    <w:p>
      <w:pPr>
        <w:pStyle w:val="ConsPlusTitle"/>
        <w:jc w:val="center"/>
        <w:rPr>
          <w:color w:val="000000"/>
        </w:rPr>
      </w:pPr>
      <w:r>
        <w:rPr>
          <w:color w:val="000000"/>
          <w:sz w:val="24"/>
          <w:szCs w:val="24"/>
        </w:rPr>
        <w:t xml:space="preserve">РЕШЕНИЕ </w:t>
      </w:r>
    </w:p>
    <w:p>
      <w:pPr>
        <w:pStyle w:val="ConsPlusTitle"/>
        <w:jc w:val="center"/>
        <w:rPr>
          <w:color w:val="000000"/>
          <w:sz w:val="24"/>
          <w:szCs w:val="24"/>
        </w:rPr>
      </w:pPr>
      <w:r>
        <w:rPr>
          <w:color w:val="000000"/>
          <w:sz w:val="24"/>
          <w:szCs w:val="24"/>
        </w:rPr>
      </w:r>
    </w:p>
    <w:p>
      <w:pPr>
        <w:pStyle w:val="ConsPlusTitle"/>
        <w:jc w:val="both"/>
        <w:rPr>
          <w:sz w:val="24"/>
          <w:szCs w:val="24"/>
        </w:rPr>
      </w:pPr>
      <w:r>
        <w:rPr>
          <w:color w:val="000000"/>
          <w:sz w:val="24"/>
          <w:szCs w:val="24"/>
        </w:rPr>
        <w:t xml:space="preserve"> </w:t>
      </w:r>
      <w:r>
        <w:rPr>
          <w:color w:val="000000"/>
          <w:sz w:val="24"/>
          <w:szCs w:val="24"/>
        </w:rPr>
        <w:t>____________ 2021                                                                                   № _________</w:t>
      </w:r>
    </w:p>
    <w:p>
      <w:pPr>
        <w:pStyle w:val="ConsPlusTitle"/>
        <w:jc w:val="both"/>
        <w:rPr>
          <w:color w:val="000000"/>
          <w:sz w:val="24"/>
          <w:szCs w:val="24"/>
        </w:rPr>
      </w:pPr>
      <w:r>
        <w:rPr>
          <w:color w:val="000000"/>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color w:val="000000"/>
          <w:sz w:val="21"/>
          <w:szCs w:val="21"/>
          <w:lang w:eastAsia="ru-RU"/>
        </w:rPr>
      </w:pPr>
      <w:r>
        <w:rPr>
          <w:rFonts w:cs="Arial" w:ascii="Arial" w:hAnsi="Arial"/>
          <w:b/>
          <w:bCs/>
          <w:color w:val="000000"/>
          <w:sz w:val="24"/>
          <w:szCs w:val="24"/>
          <w:lang w:eastAsia="ru-RU"/>
        </w:rPr>
        <w:t>О МУНИЦИПАЛЬНОМ КОНТРОЛЕ НА АВТОМОБИЛЬНОМ ТРАНСПОРТЕ 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color w:val="000000"/>
          <w:sz w:val="21"/>
          <w:szCs w:val="21"/>
          <w:lang w:eastAsia="ru-RU"/>
        </w:rPr>
      </w:pPr>
      <w:r>
        <w:rPr>
          <w:rFonts w:cs="Arial" w:ascii="Arial" w:hAnsi="Arial"/>
          <w:b/>
          <w:bCs/>
          <w:color w:val="000000"/>
          <w:sz w:val="24"/>
          <w:szCs w:val="24"/>
          <w:lang w:eastAsia="ru-RU"/>
        </w:rPr>
        <w:t>В ДОРОЖНОМ ХОЗЯЙСТВЕ НА ТЕРРИТОРИИ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sz w:val="24"/>
          <w:szCs w:val="24"/>
        </w:rPr>
      </w:pPr>
      <w:r>
        <w:rPr>
          <w:rFonts w:cs="Arial" w:ascii="Arial" w:hAnsi="Arial"/>
          <w:b/>
          <w:bCs/>
          <w:color w:val="000000"/>
          <w:sz w:val="24"/>
          <w:szCs w:val="24"/>
          <w:lang w:eastAsia="ru-RU"/>
        </w:rPr>
        <w:t>МУНИЦИПАЛЬНОГО ОБРАЗОВАНИЯ ЗАЛЕСОВСКИЙ СЕЛЬСОВЕТ КРАСНОГВАРДЕЙСКОГО РАЙОНА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709"/>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Залесовский сельсовет Красногвардейского района, Совет депутатов муниципального образования</w:t>
      </w:r>
      <w:bookmarkStart w:id="0" w:name="_Hlk82172088"/>
      <w:r>
        <w:rPr>
          <w:rFonts w:cs="Times New Roman" w:ascii="Times New Roman" w:hAnsi="Times New Roman"/>
          <w:color w:val="000000"/>
          <w:sz w:val="24"/>
          <w:szCs w:val="24"/>
          <w:lang w:eastAsia="ru-RU"/>
        </w:rPr>
        <w:t xml:space="preserve"> Залесовский сельсовет </w:t>
      </w:r>
      <w:bookmarkEnd w:id="0"/>
      <w:r>
        <w:rPr>
          <w:rFonts w:cs="Times New Roman" w:ascii="Times New Roman" w:hAnsi="Times New Roman"/>
          <w:color w:val="000000"/>
          <w:sz w:val="24"/>
          <w:szCs w:val="24"/>
          <w:lang w:eastAsia="ru-RU"/>
        </w:rPr>
        <w:t>решил:</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Утвердить прилагаемые: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4"/>
          <w:szCs w:val="24"/>
          <w:lang w:eastAsia="ru-RU"/>
        </w:rPr>
        <w:t xml:space="preserve">1.1. </w:t>
      </w:r>
      <w:r>
        <w:fldChar w:fldCharType="begin"/>
      </w:r>
      <w:r>
        <w:instrText> HYPERLINK "http://consultant.op.ru/region/static4018_00_50_492669/document_notes_inner.htm?" \l "p39"</w:instrText>
      </w:r>
      <w:r>
        <w:fldChar w:fldCharType="separate"/>
      </w:r>
      <w:r>
        <w:rPr>
          <w:rStyle w:val="Style14"/>
          <w:rFonts w:cs="Times New Roman" w:ascii="Times New Roman" w:hAnsi="Times New Roman"/>
          <w:color w:val="000000"/>
          <w:sz w:val="24"/>
          <w:szCs w:val="24"/>
          <w:lang w:eastAsia="ru-RU"/>
        </w:rPr>
        <w:t>Положение</w:t>
      </w:r>
      <w:r>
        <w:fldChar w:fldCharType="end"/>
      </w:r>
      <w:r>
        <w:rPr>
          <w:rFonts w:cs="Times New Roman" w:ascii="Times New Roman" w:hAnsi="Times New Roman"/>
          <w:color w:val="000000"/>
          <w:sz w:val="24"/>
          <w:szCs w:val="24"/>
          <w:lang w:eastAsia="ru-RU"/>
        </w:rPr>
        <w:t xml:space="preserve"> о муниципальном контроле на автомобильном транспорте и в дорожном хозяйстве на территории муниципального образования Залесовский сельсовет согласно приложению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4"/>
          <w:szCs w:val="24"/>
          <w:lang w:eastAsia="ru-RU"/>
        </w:rPr>
        <w:t xml:space="preserve">1.2. Ключевые </w:t>
      </w:r>
      <w:r>
        <w:fldChar w:fldCharType="begin"/>
      </w:r>
      <w:r>
        <w:instrText> HYPERLINK "http://consultant.op.ru/region/static4018_00_50_492669/document_notes_inner.htm?" \l "p344"</w:instrText>
      </w:r>
      <w:r>
        <w:fldChar w:fldCharType="separate"/>
      </w:r>
      <w:r>
        <w:rPr>
          <w:rStyle w:val="Style14"/>
          <w:rFonts w:cs="Times New Roman" w:ascii="Times New Roman" w:hAnsi="Times New Roman"/>
          <w:color w:val="000000"/>
          <w:sz w:val="24"/>
          <w:szCs w:val="24"/>
          <w:lang w:eastAsia="ru-RU"/>
        </w:rPr>
        <w:t>показатели</w:t>
      </w:r>
      <w:r>
        <w:fldChar w:fldCharType="end"/>
      </w:r>
      <w:r>
        <w:rPr>
          <w:rFonts w:cs="Times New Roman" w:ascii="Times New Roman" w:hAnsi="Times New Roman"/>
          <w:color w:val="000000"/>
          <w:sz w:val="24"/>
          <w:szCs w:val="24"/>
          <w:lang w:eastAsia="ru-RU"/>
        </w:rPr>
        <w:t xml:space="preserve"> муниципального контроля на автомобильном транспорте и в дорожном хозяйстве на территории муниципального образования Залесовский сельсовет и их целевые значения, индикативные показатели муниципального контроля на автомобильном транспорте и в дорожном хозяйстве на территории муниципального образования Залесовский сельсовет согласно приложению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4"/>
          <w:szCs w:val="24"/>
          <w:lang w:eastAsia="ru-RU"/>
        </w:rPr>
        <w:t>1.3. Перечень индикаторов риска нарушения обязательных требований при осуществлении муниципального контроля на автомобильном транспорте и в дорожном хозяйстве на территории муниципального образования Залесовский сельсовет согласно приложению №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4"/>
          <w:szCs w:val="24"/>
          <w:lang w:eastAsia="ru-RU"/>
        </w:rPr>
        <w:t>2</w:t>
      </w:r>
      <w:r>
        <w:rPr>
          <w:rFonts w:cs="Times New Roman" w:ascii="Times New Roman" w:hAnsi="Times New Roman"/>
          <w:color w:val="000000"/>
          <w:sz w:val="24"/>
          <w:szCs w:val="24"/>
          <w:lang w:eastAsia="ru-RU"/>
        </w:rPr>
        <w:t>. Настоящее решение вступает в силу после его обнародования и не ранее 01 января 2022 года</w:t>
      </w:r>
      <w:r>
        <w:rPr>
          <w:rFonts w:eastAsia="Times New Roman" w:cs="Times New Roman" w:ascii="Times New Roman" w:hAnsi="Times New Roman"/>
          <w:color w:val="000000"/>
          <w:sz w:val="24"/>
          <w:szCs w:val="24"/>
          <w:lang w:eastAsia="ru-RU"/>
        </w:rPr>
        <w:t xml:space="preserve"> </w:t>
      </w:r>
      <w:r>
        <w:rPr>
          <w:rFonts w:cs="Times New Roman" w:ascii="Times New Roman" w:hAnsi="Times New Roman"/>
          <w:color w:val="000000"/>
          <w:sz w:val="24"/>
          <w:szCs w:val="24"/>
          <w:lang w:eastAsia="ru-RU"/>
        </w:rPr>
        <w:t>за исключением Раздела 7 Положения, для которого пунктом 4 решения установлен иной срок вступления его в силу.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4"/>
          <w:szCs w:val="24"/>
          <w:lang w:eastAsia="ru-RU"/>
        </w:rPr>
        <w:t>3</w:t>
      </w:r>
      <w:r>
        <w:rPr>
          <w:rFonts w:cs="Times New Roman" w:ascii="Times New Roman" w:hAnsi="Times New Roman"/>
          <w:color w:val="000000"/>
          <w:sz w:val="24"/>
          <w:szCs w:val="24"/>
          <w:lang w:eastAsia="ru-RU"/>
        </w:rPr>
        <w:t xml:space="preserve">. </w:t>
      </w:r>
      <w:r>
        <w:fldChar w:fldCharType="begin"/>
      </w:r>
      <w:r>
        <w:instrText> HYPERLINK "http://consultant.op.ru/region/static4018_00_50_492669/document_notes_inner.htm?" \l "p319"</w:instrText>
      </w:r>
      <w:r>
        <w:fldChar w:fldCharType="separate"/>
      </w:r>
      <w:r>
        <w:rPr>
          <w:rStyle w:val="Style14"/>
          <w:rFonts w:cs="Times New Roman" w:ascii="Times New Roman" w:hAnsi="Times New Roman"/>
          <w:color w:val="000000"/>
          <w:sz w:val="24"/>
          <w:szCs w:val="24"/>
          <w:lang w:eastAsia="ru-RU"/>
        </w:rPr>
        <w:t>Раздел 7</w:t>
      </w:r>
      <w:r>
        <w:fldChar w:fldCharType="end"/>
      </w:r>
      <w:r>
        <w:rPr>
          <w:rFonts w:cs="Times New Roman" w:ascii="Times New Roman" w:hAnsi="Times New Roman"/>
          <w:color w:val="000000"/>
          <w:sz w:val="24"/>
          <w:szCs w:val="24"/>
          <w:lang w:eastAsia="ru-RU"/>
        </w:rPr>
        <w:t xml:space="preserve"> Положения вступает в силу с 01 марта 2022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4"/>
          <w:szCs w:val="24"/>
          <w:lang w:eastAsia="ru-RU"/>
        </w:rPr>
        <w:t>4</w:t>
      </w:r>
      <w:r>
        <w:rPr>
          <w:rFonts w:cs="Times New Roman" w:ascii="Times New Roman" w:hAnsi="Times New Roman"/>
          <w:color w:val="000000"/>
          <w:sz w:val="24"/>
          <w:szCs w:val="24"/>
          <w:lang w:eastAsia="ru-RU"/>
        </w:rPr>
        <w:t xml:space="preserve">. 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«Интернет».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4"/>
          <w:szCs w:val="24"/>
          <w:lang w:eastAsia="ru-RU"/>
        </w:rPr>
        <w:t>5</w:t>
      </w:r>
      <w:r>
        <w:rPr>
          <w:rFonts w:cs="Times New Roman" w:ascii="Times New Roman" w:hAnsi="Times New Roman"/>
          <w:color w:val="000000"/>
          <w:sz w:val="24"/>
          <w:szCs w:val="24"/>
          <w:lang w:eastAsia="ru-RU"/>
        </w:rPr>
        <w:t xml:space="preserve">. </w:t>
      </w:r>
      <w:r>
        <w:rPr>
          <w:rStyle w:val="FontStyle17"/>
          <w:rFonts w:cs="Times New Roman" w:ascii="Times New Roman" w:hAnsi="Times New Roman"/>
          <w:color w:val="000000"/>
          <w:sz w:val="24"/>
          <w:szCs w:val="24"/>
          <w:lang w:eastAsia="ru-RU"/>
        </w:rPr>
        <w:t>Возложить контроль за исполнением настоящего решения на постоянную комиссию по вопросам социального развития, правопорядку и статуса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lang w:eastAsia="ru-RU"/>
        </w:rPr>
      </w:pPr>
      <w:r>
        <w:rPr>
          <w:rFonts w:cs="Times New Roman" w:ascii="Times New Roman" w:hAnsi="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sz w:val="24"/>
          <w:szCs w:val="24"/>
        </w:rPr>
      </w:pPr>
      <w:r>
        <w:rPr>
          <w:rFonts w:cs="Times New Roman" w:ascii="Times New Roman" w:hAnsi="Times New Roman"/>
          <w:color w:val="000000"/>
          <w:sz w:val="24"/>
          <w:szCs w:val="24"/>
          <w:lang w:eastAsia="ru-RU"/>
        </w:rPr>
        <w:t>Председатель Совета депутатов                                                                          В.А.Быков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lang w:eastAsia="ru-RU"/>
        </w:rPr>
      </w:pPr>
      <w:r>
        <w:rPr>
          <w:rFonts w:cs="Times New Roman" w:ascii="Times New Roman" w:hAnsi="Times New Roman"/>
          <w:color w:val="000000"/>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pPr>
      <w:r>
        <w:rPr>
          <w:rFonts w:cs="Times New Roman" w:ascii="Times New Roman" w:hAnsi="Times New Roman"/>
          <w:color w:val="000000"/>
          <w:sz w:val="24"/>
          <w:szCs w:val="24"/>
          <w:lang w:eastAsia="ru-RU"/>
        </w:rPr>
        <w:t>Глава сельсовета                                                                                             Н.Ф.Пастухова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widowControl/>
        <w:tabs>
          <w:tab w:val="left" w:pos="567" w:leader="none"/>
          <w:tab w:val="left" w:pos="641" w:leader="none"/>
        </w:tabs>
        <w:bidi w:val="0"/>
        <w:spacing w:lineRule="auto" w:line="240" w:before="0" w:after="0"/>
        <w:ind w:left="0" w:right="0" w:hanging="0"/>
        <w:jc w:val="both"/>
        <w:rPr>
          <w:rFonts w:ascii="Times New Roman" w:hAnsi="Times New Roman" w:cs="Times New Roman"/>
          <w:color w:val="000000"/>
          <w:sz w:val="24"/>
          <w:szCs w:val="24"/>
          <w:lang w:eastAsia="ru-RU"/>
        </w:rPr>
      </w:pPr>
      <w:bookmarkStart w:id="1" w:name="__DdeLink__1686_4138982143"/>
      <w:bookmarkEnd w:id="1"/>
      <w:r>
        <w:rPr>
          <w:rStyle w:val="FontStyle17"/>
          <w:rFonts w:cs="Times New Roman" w:ascii="Times New Roman" w:hAnsi="Times New Roman"/>
          <w:color w:val="000000"/>
          <w:sz w:val="20"/>
          <w:szCs w:val="20"/>
          <w:lang w:eastAsia="ru-RU"/>
        </w:rPr>
        <w:t>Разослано: в дело, администрации района, постоянной комиссии по вопросам социального развития, правопорядку и статуса депутатов, прокуратура района, для обнародования.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Times New Roman" w:hAnsi="Times New Roman" w:cs="Times New Roman"/>
          <w:color w:val="000000"/>
          <w:sz w:val="24"/>
          <w:szCs w:val="24"/>
          <w:lang w:eastAsia="ru-RU"/>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color w:val="000000"/>
          <w:sz w:val="21"/>
          <w:szCs w:val="21"/>
          <w:lang w:eastAsia="ru-RU"/>
        </w:rPr>
      </w:pPr>
      <w:r>
        <w:rPr>
          <w:rFonts w:cs="Times New Roman" w:ascii="Times New Roman" w:hAnsi="Times New Roman"/>
          <w:color w:val="000000"/>
          <w:sz w:val="24"/>
          <w:szCs w:val="24"/>
          <w:lang w:eastAsia="ru-RU"/>
        </w:rPr>
        <w:t>Приложение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pPr>
      <w:r>
        <w:rPr>
          <w:rFonts w:cs="Times New Roman" w:ascii="Times New Roman" w:hAnsi="Times New Roman"/>
          <w:color w:val="000000"/>
          <w:sz w:val="24"/>
          <w:szCs w:val="24"/>
          <w:lang w:eastAsia="ru-RU"/>
        </w:rPr>
        <w:t xml:space="preserve">к Решению муниципального образования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color w:val="000000"/>
          <w:sz w:val="21"/>
          <w:szCs w:val="21"/>
          <w:lang w:eastAsia="ru-RU"/>
        </w:rPr>
      </w:pPr>
      <w:r>
        <w:rPr>
          <w:rFonts w:cs="Times New Roman" w:ascii="Times New Roman" w:hAnsi="Times New Roman"/>
          <w:color w:val="000000"/>
          <w:sz w:val="24"/>
          <w:szCs w:val="24"/>
          <w:lang w:eastAsia="ru-RU"/>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color w:val="000000"/>
          <w:sz w:val="21"/>
          <w:szCs w:val="21"/>
          <w:lang w:eastAsia="ru-RU"/>
        </w:rPr>
      </w:pPr>
      <w:r>
        <w:rPr>
          <w:rFonts w:cs="Times New Roman" w:ascii="Times New Roman" w:hAnsi="Times New Roman"/>
          <w:color w:val="000000"/>
          <w:sz w:val="24"/>
          <w:szCs w:val="24"/>
          <w:lang w:eastAsia="ru-RU"/>
        </w:rPr>
        <w:t>от __________ 2021 г. № _____</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color w:val="000000"/>
          <w:sz w:val="21"/>
          <w:szCs w:val="21"/>
          <w:lang w:eastAsia="ru-RU"/>
        </w:rPr>
      </w:pPr>
      <w:bookmarkStart w:id="2" w:name="p39"/>
      <w:bookmarkEnd w:id="2"/>
      <w:r>
        <w:rPr>
          <w:rFonts w:cs="Arial" w:ascii="Arial" w:hAnsi="Arial"/>
          <w:b/>
          <w:bCs/>
          <w:color w:val="000000"/>
          <w:sz w:val="24"/>
          <w:szCs w:val="24"/>
          <w:lang w:eastAsia="ru-RU"/>
        </w:rPr>
        <w:t>ПОЛОЖЕНИЕ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color w:val="000000"/>
          <w:sz w:val="21"/>
          <w:szCs w:val="21"/>
          <w:lang w:eastAsia="ru-RU"/>
        </w:rPr>
      </w:pPr>
      <w:r>
        <w:rPr>
          <w:rFonts w:cs="Arial" w:ascii="Arial" w:hAnsi="Arial"/>
          <w:b/>
          <w:bCs/>
          <w:color w:val="000000"/>
          <w:sz w:val="24"/>
          <w:szCs w:val="24"/>
          <w:lang w:eastAsia="ru-RU"/>
        </w:rPr>
        <w:t>О МУНИЦИПАЛЬНОМ КОНТРОЛЕ НА АВТОМОБИЛЬНОМ ТРАНСПОРТЕ 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color w:val="000000"/>
          <w:sz w:val="21"/>
          <w:szCs w:val="21"/>
          <w:lang w:eastAsia="ru-RU"/>
        </w:rPr>
      </w:pPr>
      <w:r>
        <w:rPr>
          <w:rFonts w:cs="Arial" w:ascii="Arial" w:hAnsi="Arial"/>
          <w:b/>
          <w:bCs/>
          <w:color w:val="000000"/>
          <w:sz w:val="24"/>
          <w:szCs w:val="24"/>
          <w:lang w:eastAsia="ru-RU"/>
        </w:rPr>
        <w:t>В ДОРОЖНОМ ХОЗЯЙСТВЕ НА ТЕРРИТОРИИ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color w:val="000000"/>
          <w:sz w:val="21"/>
          <w:szCs w:val="21"/>
          <w:lang w:eastAsia="ru-RU"/>
        </w:rPr>
      </w:pPr>
      <w:r>
        <w:rPr>
          <w:rFonts w:cs="Arial" w:ascii="Arial" w:hAnsi="Arial"/>
          <w:b/>
          <w:bCs/>
          <w:color w:val="000000"/>
          <w:sz w:val="24"/>
          <w:szCs w:val="24"/>
          <w:lang w:eastAsia="ru-RU"/>
        </w:rPr>
        <w:t>МУНИЦИПАЛЬНОГО ОБРАЗОВАНИЯ ЗАЛЕСОВСКИЙ СЕЛЬСОВЕТ КРАСНОГВАРДЕЙСКОГО РАЙОНА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Раздел 1. ОБЩИЕ ПОЛОЖЕНИЯ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Настоящее Положение определяет порядок организации и осуществления муниципального контроля на автомобильном транспорте и в дорожном хозяйстве на территории муниципального образования Залесовский сельсовет (далее - муниципальный контроль).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Под муниципальным контролем понимается деятельность Администрации муниципального образования Залесовский сельсовет, направленная на предупреждение, выявление и пресечение нарушений обязательных требований на автомобильном транспорте  и в дорожном хозяйстве (далее - обязательных требований), осуществляемая в рамках полномочий по решению вопросов местного значения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Под дорожным хозяйством понимается единый производственно-хозяйственный комплекс, включающий в себя автомобильные дороги и дорожные сооружения на них, а также организации, осуществляющие обследование, изыскания, проектирование, строительство, реконструкцию, капитальный ремонт, ремонт и содержание автомобильных дорог общего пользования.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 Муниципальный контроль осуществляется с целью минимизации риска причинения вреда (ущерба), вызванного нарушениями обязательных требований, следующим охраняемым законом ценностям: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жизнь и здоровье граждан;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права, свободы и законные интересы граждан и организаций;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объекты транспортной инфраструктуры, как технические сооружения и имущественные комплексы;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перевозка грузов и пассажиров, как обеспечение услуг и экономическая деятельность.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 Муниципальный контроль осуществляется в соответствии с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 (далее - Закон № 248-ФЗ), другими федеральными законами, актами Президента Российской Федерации, постановлениями Правительства Российской Федерации, настоящим Положением и другими муниципальными нормативными правовыми актами.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 Органом местного самоуправления муниципального образования Залесовский сельсовет, уполномоченным на осуществление муниципального контроля, является Администрация муниципального образования Залесовский сельсовет (далее - контрольный орган).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7. От имени контрольного органа муниципальный контроль вправе осуществлять следующие должностные лица: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руководитель (заместитель руководителя)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на автомобильном транспорте и в дорожном хозяйстве, в том числе проведение профилактических мероприятий и контрольных мероприятий (далее также - инспектор).</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8. Под контролируемыми лицами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9. Предметом муниципального контроля является соблюдение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в области автомобильных дорог и дорожной деятельности, установленных в отношении автомобильных дорог местного значения: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б) к осуществлению работ по капитальному ремонту, ремонту и содержанию автомобильных дорог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10. Под обеспечением сохранности автомобильных дорог понимается комплекс мероприятий, направленных на обеспечение соблюдения требований, установленных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владельцами таких автомобильных дорог (в области ремонта и содержания автомобильных дорог), пользователями таких автомобильных дорог (в области использования автомобильных дорог), должностными лицами, юридическими и физическими лицами (в области использования полос отвода и (или) придорожных полос автомобильных дорог).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11. Объектами муниципального контроля являются: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деятельность, действия (бездействия) граждан и организаций, в рамках которых должны соблюдаться обязательные требования к эксплуатации объектов дорожного сервиса, размещенных в полосах отвода и (или) придорожных полосах автомобильных дорог;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деятельность, действия (бездействия) граждан и организаций, в рамках которых должны соблюдаться обязательные требования к осуществлению дорожной деятельности;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деятельность, действия (бездействия) граждан и организаций, в рамках которых должны соблюдаться обязательные требования, установленные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 деятельность, действия (бездействия) граждан и организаций, в рамках которых должны соблюдаться обязательные требования при производстве дорожных работ;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 автомобильные дороги и дорожные сооружения на них, полосы отвода автомобильных дорог, придорожные полосы автомобильных дорог, объекты дорожного сервиса, размещенные в полосах отвода и (или) придорожных полосах автомобильных дорог, которыми граждане и организации владеют и (или) пользуются, и к которым предъявляются обязательные требования.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12. При сборе, обработке, анализе и учете сведений об объектах контроля для целей их учета контрольный орган использует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13. Контрольный орган получает на безвозмездной основе документы и (или) информацию, необходимые для организации и осуществления муниципального контроля, от иных органов, либо подведомственных указанным органам организаций, в распоряжении которых находятся эти документы и (или) информация в рамках межведомственного информационного взаимодействия, в том числе в электронной форме.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Раздел 2. УПРАВЛЕНИЕ РИСКАМИ ПРИЧИНЕНИЯ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ВРЕДА (УЩЕРБА) ОХРАНЯЕМЫМ ЗАКОНОМ ЦЕННОСТЯМ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ПРИ ОСУЩЕСТВЛЕНИИ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14.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15. Под риском причинения вреда (ущерба) в целях настоящего Положения понимается вероятность наступления событий, следствием которых может стать причинение вреда (ущерба) различного масштаба и тяжести охраняемым законам ценностям.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16. Под оценкой риска причинения вреда (ущерба) в целях настоящего Положения понимается деятельность контрольных органов по определению вероятности возникновения риска и масштаба вреда (ущерба) для охраняемых законом ценностей.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17. Под управлением риском причинения вреда (ущерба) в целях настоящего Положения понимается осуществление на основе оценки рисков причинения вреда (ущерба) профилактических мероприятий и контрольных мероприятий в целях обеспечения допустимого уровня риска причинения вреда (ущерба) в соответствующей сфере деятельности.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18. 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19. Для целей управления рисками причинения вреда (ущерба) охраняемым законом ценностям в отношении объектов контроля устанавливаются следующие категории риска причинения вреда (ущерба) охраняемым законом ценностям (далее - категории риска):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средний риск;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умеренный риск;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низкий риск.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20.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органа таким образом, чтобы общее количество профилактических мероприятий и контрольных мероприятий по отношению к объектам контроля всех категорий риска причинения вреда (ущерба) соответствовало имеющимся ресурсам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21. Критериями отнесения объекта контроля к категории риска является: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для среднего риска - неисполнение контролируемым лицом предписания, выданного в течение последних 2 лет, предшествующих дате принятия решения об отнесении деятельности контролируемого лица к категории риска, либо в течение последних 2 лет, предшествующих дате принятия решения об отнесении деятельности контролируемого лица к категории риска, поступило более 5 обращений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для умеренного риска - частичное или с нарушением сроков исполнение контролируемым лицом предписания, выданного в течение последних 2 лет, предшествующих дате принятия решения об отнесении деятельности контролируемого лица к категории риска, либо в течение последних 2 лет, предшествующих дате принятия решения об отнесении деятельности контролируемого лица к категории риска, поступило от 3 до 5 обращений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22. В случае если объект контроля не отнесен к определенной категории риска, он считается отнесенным к категории низкого риска.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23. Частота проведения плановых контрольных мероприятий устанавливается: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для объектов контроля, отнесенных к категории среднего риска - одно плановое контрольное мероприятие в 3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для объектов контроля, отнесенных к категории умеренного риска - одно плановое контрольное мероприятие в 4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24. Плановые контрольные мероприятия в отношении объектов контроля, отнесенных к категории низкого риска, не проводятся.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25. Выявление соответствия объекта контроля утвержденным индикаторам риска является основанием для проведения внепланового контрольного мероприятия, предусматривающего взаимодействие с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Раздел 3. ПРОФИЛАКТИКА РИСКОВ ПРИЧИНЕНИЯ ВРЕДА (УЩЕРБА)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ОХРАНЯЕМЫМ ЗАКОНОМ ЦЕННОСТЯМ ПРИ ОСУЩЕСТВЛЕНИИ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Глава 1. ОРГАНИЗАЦИЯ ПРОФИЛАКТИКИ НАРУШЕНИЯ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26. Профилактика рисков причинения вреда (ущерба) охраняемым законом ценностям осуществляется в соответствии с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 рисков причинения вреда) и направлена на достижение следующих основных целей: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стимулирование добросовестного соблюдения обязательных требований всеми контролируемыми лицами;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27. Контрольным органом разрабатывается программа профилактики рисков причинения вреда с учетом требований, установленных Законом № 248-ФЗ, и утверждается нормативным правовым актом муниципального образования Залесовский сельсовет на очередной календарный год ежегодно, не позднее 20 декабря текущего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28. Утвержденная программа профилактики рисков причинения вреда размещается на официальном сайте муниципального образования Залесовский сельсовет в информационно-телекоммуникационной сети Интернет (далее - официальный сайт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29. Профилактические мероприятия, предусмотренные программой профилактики рисков причинения вреда, обязательны для проведения контрольным органом.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30. Контрольный орган может проводить профилактические мероприятия, не предусмотренные программой профилактики рисков причинения вреда.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31. При осуществлении муниципального контроля контрольным органом проводятся следующие профилактические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информирование;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объявление предостережения о недопустимости нарушений обязательных требований (далее - предостережение);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консультирование.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32.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Глава 2. ИНФОРМИРОВАНИЕ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33. Контрольный орган осуществляет информирование контролируемых лиц и иных заинтересованных лиц по вопросам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34. Информирование осуществляется посредством размещения соответствующих сведений на официальном сайте муниципального образования Залесовский сельсовет, в средствах массовой информации и в иных формах.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35. Контрольный орган обязан размещать и поддерживать в актуальном состоянии на официальном сайте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тексты нормативных правовых актов, регулирующих осуществление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 руководства по соблюдению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 перечень индикаторов риска нарушения обязательных требований, порядок отнесения объектов контроля к категориям риска;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 перечень объектов контроля, учитываемых в рамках формирования ежегодного плана контрольных мероприятий, с указанием категории риска;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7) программу профилактики рисков причинения вреда и план проведения плановых контрольных мероприятий контрольным органом (при проведении таких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8) исчерпывающий перечень сведений, которые могут запрашиваться контрольным органом у контролируемого лица;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9) сведения о способах получения консультаций по вопросам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10) сведения о порядке досудебного обжалования решений контрольного органа, действий (бездействия) его должностных лиц;</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11) доклады о муниципальном контроле;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Глава 3. ОБЪЯВЛЕНИЕ ПРЕДОСТЕРЕЖЕНИЯ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36.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37. Предостережение направляется контролируемому лицу,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38.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наименование контрольного органа, в который направляется возражение;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дату и номер предостережения;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 доводы, на основании которых контролируемое лицо не согласно с объявленным предостережением;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 дату получения предостережения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7) личную подпись и дату.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39.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40. Контрольный орган в течение 20 календарных дней со дня регистрации возражения: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при необходимости запрашивают документы и материалы в других государственных органах, органах местного самоуправления и у иных лиц;</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 направляют письменный ответ по существу поставленных в возражении вопросов.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Повторно направленные возражения по тем же основаниям не рассматриваются органом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41. По результатам рассмотрения возражения орган муниципального контроля принимает одно из следующих решений: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удовлетворяет возражение в форме отмены объявленного предостережения;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отказывает в удовлетворении возражения.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42.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Глава 4. КОНСУЛЬТИРОВАНИЕ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43. Инспектор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44. Консультирование по обращениям контролируемых лиц и их представителей осуществляется инспектором в устной и письменной форме посредством дачи разъяснений по вопросам, связанным с организацией и осуществлением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45. Консультирование в устной форме осуществляется по телефону, посредством видео-конференц-связи, на личном приеме, либо в ходе проведения профилактического и (или) контрольного мероприятия, по следующим вопросам: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местонахождение, контактные телефоны, адрес официального сайта муниципального образования Залесовский сельсовет и адреса электронной почты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график работы контрольного органа, время приема посетителей;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номера кабинетов, где проводятся прием и информирование посетителей по вопросам осуществления муниципального контроля, а также фамилии, имена, отчества (при наличии) инспекторов, осуществляющих прием и информирование;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 перечень нормативных правовых актов, регулирующих осуществление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 перечень актов, содержащих обязательные требования.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46. По итогам консультирования информация, предоставленная в ходе устного консультирования, в письменной форме контролируемым лицам и их представителям не предоставляется.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47. Контролируемое лицо вправе направить в контрольный орган запрос о предоставлении письменного ответа об организации и осуществлении муниципального контроля, в порядке и в сроки, установленные Федеральным законом от 02.05.2006 № 59-ФЗ «О порядке рассмотрения обращений граждан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48. Консультирование в письменной форме, в соответствии с запросом контролируемого лица о предоставлении информации об организации и осуществлении муниципального контроля, осуществляется по следующим вопросам: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основание отнесения объекта контроля, принадлежащего обратившемуся контролируемому лицу или используемого таким контролируемым лицом, к категории риска;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основание назначения контрольного мероприятия в случае назначения такого контрольного мероприятия в отношении объекта контроля, принадлежащего обратившемуся контролируемому лицу или используемого таким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основание объявления обратившемуся контролируемому лицу предостережения;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 наличие запланированных контрольных мероприятий в отношении объектов контроля, принадлежащих обратившемуся контролируемому лицу или используемых таким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49. Рассмотрение запросов контролируемых лиц о предоставлении информации об организации и осуществлении муниципального контроля осуществляется в порядке и в сроки, установленные Федеральным законом от 02.05.2006 № 59-ФЗ «О порядке рассмотрения обращений граждан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50. 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51. В ходе консультирования не может предоставляться информация, содержащая оценку конкретного контрольного мероприятия, решений и (или) действий инспекторов, иных участников контрольного мероприятия, а также результаты проведенных в рамках контрольного мероприятия экспертизы, испытаний.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52. Информация, ставшая известной инспектору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53. Контрольный орган осуществляют учет консультирований.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муниципального образования Залесовский сельсовет письменного разъяснения, подписанного руководителем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Раздел 4. ОСУЩЕСТВЛЕНИЕ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НА АВТОМОБИЛЬНОМ ТРАНСПОРТЕ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 xml:space="preserve"> </w:t>
      </w:r>
      <w:r>
        <w:rPr>
          <w:rFonts w:cs="Arial" w:ascii="Arial" w:hAnsi="Arial"/>
          <w:b/>
          <w:bCs/>
          <w:color w:val="000000"/>
          <w:sz w:val="24"/>
          <w:szCs w:val="24"/>
          <w:lang w:eastAsia="ru-RU"/>
        </w:rPr>
        <w:t>И В ДОРОЖНОМ ХОЗЯЙСТВЕ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55. При осуществлении муниципального контроля проводятся следующие контрольные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контрольные мероприятия без взаимодействия с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контрольные мероприятия, предусматривающие взаимодействие с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56. Контрольные мероприятия без взаимодействия проводятся инспекторами на основании заданий руководителя органа контроля, включая задания, содержащиеся в планах работы контрольного органа, в соответствии со статьями 56, 74, 75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57. При осуществлении муниципального контроля проводятся следующие контрольные мероприятия, предусматривающие взаимодействие с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инспекционный визит, в ходе которого могут совершаться следующие контрольные (надзорные) 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а) осмотр;</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б) опрос;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в) получение письменных объяснений;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г) инструментальное обследование;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Инспекционный визит проводится в порядке и объеме, определенном статьей 70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рейдовый осмотр, в ходе которого могут совершаться следующие контрольные 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а) осмотр;</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б) опрос;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в) получение письменных объяснений;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г) истребование документов;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д) инструментальное обследование.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Рейдовый осмотр проводится в порядке и объеме, определенном статьей 71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документарная проверка, в ходе которой могут совершаться следующие контрольные 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а) получение письменных объяснений;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б) истребование документов.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Документарная проводится в порядке и объеме, определенном статьей 72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 выездная проверка, в ходе которой могут совершаться следующие контрольные 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а) осмотр;</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б) опрос;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в) получение письменных объяснений;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г) истребование документов;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д) инструментальное обследование.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58. Основания для проведения контрольных мероприятий предусмотрены статьей 57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59. Сведения о причинении вреда (ущерба) или об угрозе причинения вреда (ущерба) охраняемым законом ценностям контрольный орган получает: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при проведении контрольных мероприятий, включая контрольные мероприятия без взаимодействия с контролируемым лицом, в том числе в отношении иных контролируемых лиц.</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60.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проводится оценка их достоверности.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61.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обеспечивает, в том числе по решению руководителя контрольного органа, проведение контрольного мероприятия без взаимодействия.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62. Контрольный орган вправе обратиться в суд с иском о взыскании с гражданина, организации, со средства массовой информации расходов, понесенных контрольным органом в связи с рассмотрением обращения (заявления), информации указанных лиц, если в них были указаны заведомо ложные сведения.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63.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 мотивированное представление о проведении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64. Плановые контрольные мероприятия, предусматривающие взаимодействие с контролируемым лицом, проводятся на основании плана проведения плановых контрольных мероприятий на очередной календарный год (далее - ежегодный план контрольных мероприятий), формируемого контрольным органом и подлежащего согласованию с прокуратурой.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руководителем контрольного органа (далее - решение о проведении контрольного мероприятия, предусматривающего взаимодействие с контролируемым лицом, а также документарной проверки), в котором указываются: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дата, время и место принятия решения;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кем принято решение;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основание проведения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 вид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 фамилии, имена, отчества (при наличии), должности инспектора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 объект контроля, в отношении которого проводится контрольное мероприятие;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 может не указываться в отношении рейдового осмотра;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9) вид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10) перечень контрольных действий, совершаемых в рамках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11) предмет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12)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13)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14) иные сведения, если это предусмотрено положением о виде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67. Совершение контрольных действий и их результаты отражаются в документах, составляемых инспектором контрольного органа и лицами, привлекаемыми к совершению контрольных действий.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68.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69. Об использовании фотосъемки, аудио- и видеозаписи, иных способов фиксации доказательств инспектор сообщает контролируемому лицу (представителю контролируемого лица). Сведения об использовании фотосъемки, аудио- и видеозаписи, иных способов фиксации доказательств, приобщаются к протоколу контрольного 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70. 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уполномоченным лицом контрольного органа,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bookmarkStart w:id="3" w:name="p260"/>
      <w:bookmarkEnd w:id="3"/>
      <w:r>
        <w:rPr>
          <w:rFonts w:cs="Times New Roman" w:ascii="Times New Roman" w:hAnsi="Times New Roman"/>
          <w:color w:val="000000"/>
          <w:sz w:val="24"/>
          <w:szCs w:val="24"/>
          <w:lang w:eastAsia="ru-RU"/>
        </w:rPr>
        <w:t xml:space="preserve">71.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w:t>
      </w:r>
      <w:r>
        <w:fldChar w:fldCharType="begin"/>
      </w:r>
      <w:r>
        <w:instrText> HYPERLINK "http://consultant.op.ru/region/static4018_00_50_492669/document_notes_inner.htm?" \l "p262"</w:instrText>
      </w:r>
      <w:r>
        <w:fldChar w:fldCharType="separate"/>
      </w:r>
      <w:r>
        <w:rPr>
          <w:rStyle w:val="Style14"/>
          <w:rFonts w:cs="Times New Roman" w:ascii="Times New Roman" w:hAnsi="Times New Roman"/>
          <w:color w:val="000000"/>
          <w:sz w:val="24"/>
          <w:szCs w:val="24"/>
          <w:u w:val="none"/>
          <w:lang w:eastAsia="ru-RU"/>
        </w:rPr>
        <w:t>пунктами 73</w:t>
      </w:r>
      <w:r>
        <w:fldChar w:fldCharType="end"/>
      </w:r>
      <w:r>
        <w:rPr>
          <w:rFonts w:cs="Times New Roman" w:ascii="Times New Roman" w:hAnsi="Times New Roman"/>
          <w:color w:val="000000"/>
          <w:sz w:val="24"/>
          <w:szCs w:val="24"/>
          <w:lang w:eastAsia="ru-RU"/>
        </w:rPr>
        <w:t xml:space="preserve">, </w:t>
      </w:r>
      <w:r>
        <w:fldChar w:fldCharType="begin"/>
      </w:r>
      <w:r>
        <w:instrText> HYPERLINK "http://consultant.op.ru/region/static4018_00_50_492669/document_notes_inner.htm?" \l "p263"</w:instrText>
      </w:r>
      <w:r>
        <w:fldChar w:fldCharType="separate"/>
      </w:r>
      <w:r>
        <w:rPr>
          <w:rStyle w:val="Style14"/>
          <w:rFonts w:cs="Times New Roman" w:ascii="Times New Roman" w:hAnsi="Times New Roman"/>
          <w:color w:val="000000"/>
          <w:sz w:val="24"/>
          <w:szCs w:val="24"/>
          <w:u w:val="none"/>
          <w:lang w:eastAsia="ru-RU"/>
        </w:rPr>
        <w:t>74</w:t>
      </w:r>
      <w:r>
        <w:fldChar w:fldCharType="end"/>
      </w:r>
      <w:r>
        <w:rPr>
          <w:rFonts w:cs="Times New Roman" w:ascii="Times New Roman" w:hAnsi="Times New Roman"/>
          <w:color w:val="000000"/>
          <w:sz w:val="24"/>
          <w:szCs w:val="24"/>
          <w:lang w:eastAsia="ru-RU"/>
        </w:rPr>
        <w:t xml:space="preserve"> 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72. Документы, оформляемые контрольным органом при осуществлении муниципального контроля, а также специалистами, экспертами, привлекаемыми к проведению контрольных мероприятий, составляются в форме электронного документа и подписываются усиленной квалифицированной электронной подписью (до 31.12.2023 указанные в пункте документы могут составляться и подписываться на бумажном носителе (в том числе акты контрольных мероприятий, предписания)).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bookmarkStart w:id="4" w:name="p262"/>
      <w:bookmarkEnd w:id="4"/>
      <w:r>
        <w:rPr>
          <w:rFonts w:cs="Times New Roman" w:ascii="Times New Roman" w:hAnsi="Times New Roman"/>
          <w:color w:val="000000"/>
          <w:sz w:val="24"/>
          <w:szCs w:val="24"/>
          <w:lang w:eastAsia="ru-RU"/>
        </w:rPr>
        <w:t>73.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bookmarkStart w:id="5" w:name="p263"/>
      <w:bookmarkEnd w:id="5"/>
      <w:r>
        <w:rPr>
          <w:rFonts w:cs="Times New Roman" w:ascii="Times New Roman" w:hAnsi="Times New Roman"/>
          <w:color w:val="000000"/>
          <w:sz w:val="24"/>
          <w:szCs w:val="24"/>
          <w:lang w:eastAsia="ru-RU"/>
        </w:rPr>
        <w:t>74. Контролируемое лицо считается проинформированным надлежащим образом в случае, если: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4"/>
          <w:szCs w:val="24"/>
          <w:lang w:eastAsia="ru-RU"/>
        </w:rPr>
        <w:t xml:space="preserve">1) сведения предоставлены контролируемому лицу в соответствии с </w:t>
      </w:r>
      <w:r>
        <w:fldChar w:fldCharType="begin"/>
      </w:r>
      <w:r>
        <w:instrText> HYPERLINK "http://consultant.op.ru/region/static4018_00_50_492669/document_notes_inner.htm?" \l "p262"</w:instrText>
      </w:r>
      <w:r>
        <w:fldChar w:fldCharType="separate"/>
      </w:r>
      <w:r>
        <w:rPr>
          <w:rStyle w:val="Style14"/>
          <w:rFonts w:cs="Times New Roman" w:ascii="Times New Roman" w:hAnsi="Times New Roman"/>
          <w:color w:val="000000"/>
          <w:sz w:val="24"/>
          <w:szCs w:val="24"/>
          <w:u w:val="none"/>
          <w:lang w:eastAsia="ru-RU"/>
        </w:rPr>
        <w:t>пунктом 73</w:t>
      </w:r>
      <w:r>
        <w:fldChar w:fldCharType="end"/>
      </w:r>
      <w:r>
        <w:rPr>
          <w:rFonts w:cs="Times New Roman" w:ascii="Times New Roman" w:hAnsi="Times New Roman"/>
          <w:color w:val="000000"/>
          <w:sz w:val="24"/>
          <w:szCs w:val="24"/>
          <w:lang w:eastAsia="ru-RU"/>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r>
        <w:fldChar w:fldCharType="begin"/>
      </w:r>
      <w:r>
        <w:instrText> HYPERLINK "http://consultant.op.ru/region/static4018_00_50_492669/document_notes_inner.htm?" \l "p272"</w:instrText>
      </w:r>
      <w:r>
        <w:fldChar w:fldCharType="separate"/>
      </w:r>
      <w:r>
        <w:rPr>
          <w:rStyle w:val="Style14"/>
          <w:rFonts w:cs="Times New Roman" w:ascii="Times New Roman" w:hAnsi="Times New Roman"/>
          <w:color w:val="000000"/>
          <w:sz w:val="24"/>
          <w:szCs w:val="24"/>
          <w:u w:val="none"/>
          <w:lang w:eastAsia="ru-RU"/>
        </w:rPr>
        <w:t>пунктом 78</w:t>
      </w:r>
      <w:r>
        <w:fldChar w:fldCharType="end"/>
      </w:r>
      <w:r>
        <w:rPr>
          <w:rFonts w:cs="Times New Roman" w:ascii="Times New Roman" w:hAnsi="Times New Roman"/>
          <w:color w:val="000000"/>
          <w:sz w:val="24"/>
          <w:szCs w:val="24"/>
          <w:lang w:eastAsia="ru-RU"/>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75. Документы, направляемые контролируемым лицом контрольному органу в электронном виде, подписываются: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простой электронной подписью;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усиленной квалифицированной электронной подписью.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76.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77. Не допускается требование нотариального удостоверения копий документов, представляемых в контрольный орган.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bookmarkStart w:id="6" w:name="p272"/>
      <w:bookmarkEnd w:id="6"/>
      <w:r>
        <w:rPr>
          <w:rFonts w:cs="Times New Roman" w:ascii="Times New Roman" w:hAnsi="Times New Roman"/>
          <w:color w:val="000000"/>
          <w:sz w:val="24"/>
          <w:szCs w:val="24"/>
          <w:lang w:eastAsia="ru-RU"/>
        </w:rPr>
        <w:t>78.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4"/>
          <w:szCs w:val="24"/>
          <w:lang w:eastAsia="ru-RU"/>
        </w:rPr>
        <w:t xml:space="preserve">79. В случае, указанном в </w:t>
      </w:r>
      <w:r>
        <w:fldChar w:fldCharType="begin"/>
      </w:r>
      <w:r>
        <w:instrText> HYPERLINK "http://consultant.op.ru/region/static4018_00_50_492669/document_notes_inner.htm?" \l "p260"</w:instrText>
      </w:r>
      <w:r>
        <w:fldChar w:fldCharType="separate"/>
      </w:r>
      <w:r>
        <w:rPr>
          <w:rStyle w:val="Style14"/>
          <w:rFonts w:cs="Times New Roman" w:ascii="Times New Roman" w:hAnsi="Times New Roman"/>
          <w:color w:val="000000"/>
          <w:sz w:val="24"/>
          <w:szCs w:val="24"/>
          <w:u w:val="none"/>
          <w:lang w:eastAsia="ru-RU"/>
        </w:rPr>
        <w:t>пункте 71</w:t>
      </w:r>
      <w:r>
        <w:fldChar w:fldCharType="end"/>
      </w:r>
      <w:r>
        <w:rPr>
          <w:rFonts w:cs="Times New Roman" w:ascii="Times New Roman" w:hAnsi="Times New Roman"/>
          <w:color w:val="000000"/>
          <w:sz w:val="24"/>
          <w:szCs w:val="24"/>
          <w:lang w:eastAsia="ru-RU"/>
        </w:rPr>
        <w:t xml:space="preserve">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80.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81. Внеплановые контрольные мероприятия, предусматривающие взаимодействие с контролируемым лицом, по основанию, предусмотренному пунктом 1 части 1 статьи 57 Закона № 248-ФЗ, проводятся в виде инспекционного визита, рейдового осмотра, документарной проверки, выездной проверки.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82. Вид внеплановых контрольных мероприятий, предусматривающих взаимодействие с контролируемым лицом, по основаниям, предусмотренным пунктами 3, 4 части 1 статьи 57 Закона № 248-ФЗ, определяется поручением Президента Российской Федерации, поручением Правительства Российской Федерации, требованием прокурора.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83. Внеплановые контрольные мероприятия, предусматривающие взаимодействие с контролируемым лицом, по основанию, предусмотренному пунктом 5 части 1 статьи 57 Закона № 248-ФЗ, проводятся в виде инспекционного визита, рейдового осмотра, документарной проверки, выездной проверки.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bookmarkStart w:id="7" w:name="p278"/>
      <w:bookmarkEnd w:id="7"/>
      <w:r>
        <w:rPr>
          <w:rFonts w:cs="Times New Roman" w:ascii="Times New Roman" w:hAnsi="Times New Roman"/>
          <w:color w:val="000000"/>
          <w:sz w:val="24"/>
          <w:szCs w:val="24"/>
          <w:lang w:eastAsia="ru-RU"/>
        </w:rPr>
        <w:t>84. В день подписания решения о проведении внепланового контрольного мероприятия в целях согласования его проведения контрольный орган направляет в прокуратуру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4"/>
          <w:szCs w:val="24"/>
          <w:lang w:eastAsia="ru-RU"/>
        </w:rPr>
        <w:t xml:space="preserve">85. Направление сведений и документов, предусмотренных </w:t>
      </w:r>
      <w:r>
        <w:fldChar w:fldCharType="begin"/>
      </w:r>
      <w:r>
        <w:instrText> HYPERLINK "http://consultant.op.ru/region/static4018_00_50_492669/document_notes_inner.htm?" \l "p278"</w:instrText>
      </w:r>
      <w:r>
        <w:fldChar w:fldCharType="separate"/>
      </w:r>
      <w:r>
        <w:rPr>
          <w:rStyle w:val="Style14"/>
          <w:rFonts w:cs="Times New Roman" w:ascii="Times New Roman" w:hAnsi="Times New Roman"/>
          <w:color w:val="000000"/>
          <w:sz w:val="24"/>
          <w:szCs w:val="24"/>
          <w:u w:val="none"/>
          <w:lang w:eastAsia="ru-RU"/>
        </w:rPr>
        <w:t>пунктом 84</w:t>
      </w:r>
      <w:r>
        <w:fldChar w:fldCharType="end"/>
      </w:r>
      <w:r>
        <w:rPr>
          <w:rFonts w:cs="Times New Roman" w:ascii="Times New Roman" w:hAnsi="Times New Roman"/>
          <w:color w:val="000000"/>
          <w:sz w:val="24"/>
          <w:szCs w:val="24"/>
          <w:lang w:eastAsia="ru-RU"/>
        </w:rPr>
        <w:t xml:space="preserve"> настоящего Положения,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4"/>
          <w:szCs w:val="24"/>
          <w:lang w:eastAsia="ru-RU"/>
        </w:rPr>
        <w:t xml:space="preserve">86.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предусмотренных </w:t>
      </w:r>
      <w:r>
        <w:fldChar w:fldCharType="begin"/>
      </w:r>
      <w:r>
        <w:instrText> HYPERLINK "http://consultant.op.ru/region/static4018_00_50_492669/document_notes_inner.htm?" \l "p278"</w:instrText>
      </w:r>
      <w:r>
        <w:fldChar w:fldCharType="separate"/>
      </w:r>
      <w:r>
        <w:rPr>
          <w:rStyle w:val="Style14"/>
          <w:rFonts w:cs="Times New Roman" w:ascii="Times New Roman" w:hAnsi="Times New Roman"/>
          <w:color w:val="000000"/>
          <w:sz w:val="24"/>
          <w:szCs w:val="24"/>
          <w:u w:val="none"/>
          <w:lang w:eastAsia="ru-RU"/>
        </w:rPr>
        <w:t>пунктом 84</w:t>
      </w:r>
      <w:r>
        <w:fldChar w:fldCharType="end"/>
      </w:r>
      <w:r>
        <w:rPr>
          <w:rFonts w:cs="Times New Roman" w:ascii="Times New Roman" w:hAnsi="Times New Roman"/>
          <w:color w:val="000000"/>
          <w:sz w:val="24"/>
          <w:szCs w:val="24"/>
          <w:lang w:eastAsia="ru-RU"/>
        </w:rPr>
        <w:t xml:space="preserve"> настоящего Положения. В этом случае уведомление контролируемого лица о проведении внепланового контрольного мероприятия может не проводиться.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87. Права и обязанности контролируемых лиц, возникающие в связи с организацией и осуществлением муниципального контроля, устанавливаются Законом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88. В случае временной нетрудоспособности индивидуального предпринимателя, гражданина, являющихся контролируемыми лицами, а также при наступлении обстоятельств непреодолимой силы, повлекших невозможность присутствия указанных контролируемых лиц при проведении контрольного мероприятия, такие лица вправе представить в контрольный орган информацию о невозможности присутствия при проведении контрольного мероприятия с приложением подтверждающих документов.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bookmarkStart w:id="8" w:name="p283"/>
      <w:bookmarkEnd w:id="8"/>
      <w:r>
        <w:rPr>
          <w:rFonts w:cs="Times New Roman" w:ascii="Times New Roman" w:hAnsi="Times New Roman"/>
          <w:color w:val="000000"/>
          <w:sz w:val="24"/>
          <w:szCs w:val="24"/>
          <w:lang w:eastAsia="ru-RU"/>
        </w:rPr>
        <w:t xml:space="preserve">89. При поступлении информации, указанной в </w:t>
      </w:r>
      <w:r>
        <w:fldChar w:fldCharType="begin"/>
      </w:r>
      <w:r>
        <w:instrText> HYPERLINK "http://consultant.op.ru/region/static4018_00_50_492669/document_notes_inner.htm?" \l "p283"</w:instrText>
      </w:r>
      <w:r>
        <w:fldChar w:fldCharType="separate"/>
      </w:r>
      <w:r>
        <w:rPr>
          <w:rStyle w:val="Style14"/>
          <w:rFonts w:cs="Times New Roman" w:ascii="Times New Roman" w:hAnsi="Times New Roman"/>
          <w:color w:val="000000"/>
          <w:sz w:val="24"/>
          <w:szCs w:val="24"/>
          <w:u w:val="none"/>
          <w:lang w:eastAsia="ru-RU"/>
        </w:rPr>
        <w:t>пункте 89</w:t>
      </w:r>
      <w:r>
        <w:fldChar w:fldCharType="end"/>
      </w:r>
      <w:r>
        <w:rPr>
          <w:rFonts w:cs="Times New Roman" w:ascii="Times New Roman" w:hAnsi="Times New Roman"/>
          <w:color w:val="000000"/>
          <w:sz w:val="24"/>
          <w:szCs w:val="24"/>
          <w:lang w:eastAsia="ru-RU"/>
        </w:rPr>
        <w:t xml:space="preserve"> настоящего Положения, в контрольный орган, решением руководителя контрольного органа проведение контрольного мероприятия переносится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Раздел 5. РЕЗУЛЬТАТЫ КОНТРОЛЬНЫХ МЕРОПРИЯТИЙ И РЕШЕНИЯ,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ПО РЕЗУЛЬТАТАМ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90.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91. Вопросы оформления результатов контрольных мероприятий регулируются статьей 87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92.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дата и место составления предписания;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дата и номер акта контрольного мероприятия, на основании которого выдается предписание;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фамилия, имя, отчество (при наличии) и должность лица (лиц), выдавшего (выдавших) предписание;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 содержание предписания - обязательные требования, которые нарушены;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7) сроки исполнения;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93.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Раздел 6. ОБЖАЛОВАНИЕ РЕШЕНИЙ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ДЕЙСТВИЙ (БЕЗДЕЙСТВИЯ) ЕГО ДОЛЖНОСТНЫХ ЛИЦ</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94.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Закона № 248-ФЗ и в соответствии с настоящим положением.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95. Сроки подачи жалобы определяются в соответствии с частями 5 - 11 статьи 40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96. Жалоба, поданная в досудебном порядке на действия (бездействие) инспектора, подлежит рассмотрению заместителем руководителя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97. Жалоба, поданная в досудебном порядке на действия (бездействие) заместителя руководителя контрольного органа главой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bookmarkStart w:id="9" w:name="p308"/>
      <w:bookmarkEnd w:id="9"/>
      <w:r>
        <w:rPr>
          <w:rFonts w:cs="Times New Roman" w:ascii="Times New Roman" w:hAnsi="Times New Roman"/>
          <w:color w:val="000000"/>
          <w:sz w:val="24"/>
          <w:szCs w:val="24"/>
          <w:lang w:eastAsia="ru-RU"/>
        </w:rPr>
        <w:t>98. Срок рассмотрения жалобы не позднее 20 рабочих дней со дня регистрации такой жалобы в органе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4"/>
          <w:szCs w:val="24"/>
          <w:lang w:eastAsia="ru-RU"/>
        </w:rPr>
        <w:t xml:space="preserve">Срок рассмотрения жалобы, установленный </w:t>
      </w:r>
      <w:r>
        <w:fldChar w:fldCharType="begin"/>
      </w:r>
      <w:r>
        <w:instrText> HYPERLINK "http://consultant.op.ru/region/static4018_00_50_492669/document_notes_inner.htm?" \l "p308"</w:instrText>
      </w:r>
      <w:r>
        <w:fldChar w:fldCharType="separate"/>
      </w:r>
      <w:r>
        <w:rPr>
          <w:rStyle w:val="Style14"/>
          <w:rFonts w:cs="Times New Roman" w:ascii="Times New Roman" w:hAnsi="Times New Roman"/>
          <w:color w:val="000000"/>
          <w:sz w:val="24"/>
          <w:szCs w:val="24"/>
          <w:u w:val="none"/>
          <w:lang w:eastAsia="ru-RU"/>
        </w:rPr>
        <w:t>абзацем первым</w:t>
      </w:r>
      <w:r>
        <w:fldChar w:fldCharType="end"/>
      </w:r>
      <w:r>
        <w:rPr>
          <w:rFonts w:cs="Times New Roman" w:ascii="Times New Roman" w:hAnsi="Times New Roman"/>
          <w:color w:val="000000"/>
          <w:sz w:val="24"/>
          <w:szCs w:val="24"/>
          <w:lang w:eastAsia="ru-RU"/>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99. По итогам рассмотрения жалобы принимается одно из следующих решений: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 оставить жалобу без удовлетворения;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 отменить решение контрольного органа полностью или частично;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 отменить решение контрольного органа полностью и принять новое решение;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100.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101. Досудебный порядок обжалования до 31 декабря 2023 года может осуществляться посредством бумажного документооборота.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bookmarkStart w:id="10" w:name="p319"/>
      <w:bookmarkEnd w:id="10"/>
      <w:r>
        <w:rPr>
          <w:rFonts w:cs="Arial" w:ascii="Arial" w:hAnsi="Arial"/>
          <w:b/>
          <w:bCs/>
          <w:color w:val="000000"/>
          <w:sz w:val="24"/>
          <w:szCs w:val="24"/>
          <w:lang w:eastAsia="ru-RU"/>
        </w:rPr>
        <w:t>Раздел 7. ОЦЕНКА РЕЗУЛЬТАТИВНОСТИ И ЭФФЕКТИВНОСТИ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color w:val="000000"/>
          <w:sz w:val="21"/>
          <w:szCs w:val="21"/>
          <w:lang w:eastAsia="ru-RU"/>
        </w:rPr>
      </w:pPr>
      <w:r>
        <w:rPr>
          <w:rFonts w:cs="Arial" w:ascii="Arial" w:hAnsi="Arial"/>
          <w:b/>
          <w:bCs/>
          <w:color w:val="000000"/>
          <w:sz w:val="24"/>
          <w:szCs w:val="24"/>
          <w:lang w:eastAsia="ru-RU"/>
        </w:rPr>
        <w:t>ДЕЯТЕЛЬНОСТИ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102.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на автомобильном транспорте и в дорожном хозяйстве.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103. В систему показателей результативности и эффективности деятельности входят: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ключевые показатели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индикативные показатели муниципального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104. Ключевые показатели муниципального контроля на автомобильном транспорте и в дорожном хозяйстве и их целевые значения, индикативные показатели муниципального контроля на автомобильном транспорте и в дорожном хозяйстве утверждаются решением представительного органа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105. Контрольный орган ежегодно осуществляет подготовку доклада о муниципальном контроле на автомобильном транспорте и в дорожном хозяйстве с учетом требований, установленных Законом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Организация подготовки доклада возлагается на орган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pPr>
      <w:r>
        <w:rPr>
          <w:rFonts w:cs="Times New Roman" w:ascii="Times New Roman" w:hAnsi="Times New Roman"/>
          <w:color w:val="000000"/>
          <w:sz w:val="24"/>
          <w:szCs w:val="24"/>
          <w:lang w:eastAsia="ru-RU"/>
        </w:rPr>
        <w:t>Приложение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pPr>
      <w:r>
        <w:rPr>
          <w:rFonts w:cs="Times New Roman" w:ascii="Times New Roman" w:hAnsi="Times New Roman"/>
          <w:color w:val="000000"/>
          <w:sz w:val="24"/>
          <w:szCs w:val="24"/>
          <w:lang w:eastAsia="ru-RU"/>
        </w:rPr>
        <w:t>к Решению 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pPr>
      <w:r>
        <w:rPr>
          <w:rFonts w:cs="Times New Roman" w:ascii="Times New Roman" w:hAnsi="Times New Roman"/>
          <w:color w:val="000000"/>
          <w:sz w:val="24"/>
          <w:szCs w:val="24"/>
          <w:lang w:eastAsia="ru-RU"/>
        </w:rPr>
        <w:t xml:space="preserve"> </w:t>
      </w:r>
      <w:r>
        <w:rPr>
          <w:rFonts w:cs="Times New Roman" w:ascii="Times New Roman" w:hAnsi="Times New Roman"/>
          <w:color w:val="000000"/>
          <w:sz w:val="24"/>
          <w:szCs w:val="24"/>
          <w:lang w:eastAsia="ru-RU"/>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color w:val="000000"/>
          <w:sz w:val="21"/>
          <w:szCs w:val="21"/>
          <w:lang w:eastAsia="ru-RU"/>
        </w:rPr>
      </w:pPr>
      <w:r>
        <w:rPr>
          <w:rFonts w:cs="Times New Roman" w:ascii="Times New Roman" w:hAnsi="Times New Roman"/>
          <w:color w:val="000000"/>
          <w:sz w:val="24"/>
          <w:szCs w:val="24"/>
          <w:lang w:eastAsia="ru-RU"/>
        </w:rPr>
        <w:t>от _________ 2021 г. № ______</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pPr>
      <w:bookmarkStart w:id="11" w:name="p344"/>
      <w:bookmarkEnd w:id="11"/>
      <w:r>
        <w:rPr>
          <w:rFonts w:cs="Arial" w:ascii="Arial" w:hAnsi="Arial"/>
          <w:b/>
          <w:bCs/>
          <w:color w:val="000000"/>
          <w:sz w:val="24"/>
          <w:szCs w:val="24"/>
          <w:lang w:eastAsia="ru-RU"/>
        </w:rPr>
        <w:t>Ключевые показатели муниципального контроля на автомобильном транспорте И В ДОРОЖНОМ ХОЗЯЙСТВЕ НА ТЕРРИТОРИИ МУНИЦИПАЛЬНОГО ОБРАЗОВАНИЯ ЗАЛЕСОВСКИЙ СЕЛЬСОВЕТ И ИХ ЦЕЛЕВЫЕ ЗНАЧЕНИЯ, ИНДИКАТИВНЫЕ ПОКАЗАТЕЛИ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color w:val="000000"/>
          <w:sz w:val="21"/>
          <w:szCs w:val="21"/>
          <w:lang w:eastAsia="ru-RU"/>
        </w:rPr>
      </w:pPr>
      <w:r>
        <w:rPr>
          <w:rFonts w:cs="Arial" w:ascii="Arial" w:hAnsi="Arial"/>
          <w:b/>
          <w:bCs/>
          <w:color w:val="000000"/>
          <w:sz w:val="24"/>
          <w:szCs w:val="24"/>
          <w:lang w:eastAsia="ru-RU"/>
        </w:rPr>
        <w:t>МУНИЦИПАЛЬНОГО КОНТРОЛЯ НА АВТОМОБИЛЬНОМ ТРАНСПОРТЕ</w:t>
      </w:r>
      <w:r>
        <w:rPr>
          <w:rFonts w:cs="Verdana" w:ascii="Verdana" w:hAnsi="Verdana"/>
          <w:b/>
          <w:bCs/>
          <w:color w:val="000000"/>
          <w:sz w:val="21"/>
          <w:szCs w:val="21"/>
          <w:lang w:eastAsia="ru-RU"/>
        </w:rPr>
        <w:t xml:space="preserve"> </w:t>
      </w:r>
      <w:r>
        <w:rPr>
          <w:rFonts w:cs="Arial" w:ascii="Arial" w:hAnsi="Arial"/>
          <w:b/>
          <w:bCs/>
          <w:color w:val="000000"/>
          <w:sz w:val="24"/>
          <w:szCs w:val="24"/>
          <w:lang w:eastAsia="ru-RU"/>
        </w:rPr>
        <w:t>И В ДОРОЖНОМ ХОЗЯЙСТВЕ НА ТЕРРИТОРИИ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Ключевые показатели муниципального контроля на автомобильном транспорте и в дорожном хозяйстве и их целевые значения: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tbl>
      <w:tblPr>
        <w:tblW w:w="9353" w:type="dxa"/>
        <w:jc w:val="left"/>
        <w:tblInd w:w="-16"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0" w:type="dxa"/>
          <w:left w:w="-10" w:type="dxa"/>
          <w:bottom w:w="0" w:type="dxa"/>
          <w:right w:w="0" w:type="dxa"/>
        </w:tblCellMar>
        <w:tblLook w:firstRow="1" w:noVBand="0" w:lastRow="0" w:firstColumn="1" w:lastColumn="0" w:noHBand="0" w:val="00a0"/>
      </w:tblPr>
      <w:tblGrid>
        <w:gridCol w:w="7604"/>
        <w:gridCol w:w="1748"/>
      </w:tblGrid>
      <w:tr>
        <w:trPr/>
        <w:tc>
          <w:tcPr>
            <w:tcW w:w="760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pPr>
            <w:r>
              <w:rPr>
                <w:rFonts w:cs="Times New Roman" w:ascii="Times New Roman" w:hAnsi="Times New Roman"/>
                <w:color w:val="000000"/>
                <w:sz w:val="24"/>
                <w:szCs w:val="24"/>
                <w:lang w:eastAsia="ru-RU"/>
              </w:rPr>
              <w:t>Ключевые показатели</w:t>
            </w:r>
          </w:p>
        </w:tc>
        <w:tc>
          <w:tcPr>
            <w:tcW w:w="17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pPr>
            <w:r>
              <w:rPr>
                <w:rFonts w:cs="Times New Roman" w:ascii="Times New Roman" w:hAnsi="Times New Roman"/>
                <w:color w:val="000000"/>
                <w:sz w:val="24"/>
                <w:szCs w:val="24"/>
                <w:lang w:eastAsia="ru-RU"/>
              </w:rPr>
              <w:t>Целевые значения (%)</w:t>
            </w:r>
          </w:p>
        </w:tc>
      </w:tr>
      <w:tr>
        <w:trPr/>
        <w:tc>
          <w:tcPr>
            <w:tcW w:w="760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rPr/>
            </w:pPr>
            <w:r>
              <w:rPr>
                <w:rFonts w:cs="Times New Roman" w:ascii="Times New Roman" w:hAnsi="Times New Roman"/>
                <w:color w:val="000000"/>
                <w:sz w:val="24"/>
                <w:szCs w:val="24"/>
                <w:lang w:eastAsia="ru-RU"/>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17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pPr>
            <w:r>
              <w:rPr>
                <w:rFonts w:cs="Times New Roman" w:ascii="Times New Roman" w:hAnsi="Times New Roman"/>
                <w:color w:val="000000"/>
                <w:sz w:val="24"/>
                <w:szCs w:val="24"/>
                <w:lang w:eastAsia="ru-RU"/>
              </w:rPr>
              <w:t>Не менее 70</w:t>
            </w:r>
          </w:p>
        </w:tc>
      </w:tr>
      <w:tr>
        <w:trPr/>
        <w:tc>
          <w:tcPr>
            <w:tcW w:w="760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rPr/>
            </w:pPr>
            <w:r>
              <w:rPr>
                <w:rFonts w:cs="Times New Roman" w:ascii="Times New Roman" w:hAnsi="Times New Roman"/>
                <w:color w:val="000000"/>
                <w:sz w:val="24"/>
                <w:szCs w:val="24"/>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7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pPr>
            <w:r>
              <w:rPr>
                <w:rFonts w:cs="Times New Roman" w:ascii="Times New Roman" w:hAnsi="Times New Roman"/>
                <w:color w:val="000000"/>
                <w:sz w:val="24"/>
                <w:szCs w:val="24"/>
                <w:lang w:eastAsia="ru-RU"/>
              </w:rPr>
              <w:t>Не более 0</w:t>
            </w:r>
          </w:p>
        </w:tc>
      </w:tr>
      <w:tr>
        <w:trPr/>
        <w:tc>
          <w:tcPr>
            <w:tcW w:w="760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rPr/>
            </w:pPr>
            <w:r>
              <w:rPr>
                <w:rFonts w:cs="Times New Roman" w:ascii="Times New Roman" w:hAnsi="Times New Roman"/>
                <w:color w:val="000000"/>
                <w:sz w:val="24"/>
                <w:szCs w:val="24"/>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7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pPr>
            <w:r>
              <w:rPr>
                <w:rFonts w:cs="Times New Roman" w:ascii="Times New Roman" w:hAnsi="Times New Roman"/>
                <w:color w:val="000000"/>
                <w:sz w:val="24"/>
                <w:szCs w:val="24"/>
                <w:lang w:eastAsia="ru-RU"/>
              </w:rPr>
              <w:t>Не более 0</w:t>
            </w:r>
          </w:p>
        </w:tc>
      </w:tr>
      <w:tr>
        <w:trPr/>
        <w:tc>
          <w:tcPr>
            <w:tcW w:w="760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rPr/>
            </w:pPr>
            <w:r>
              <w:rPr>
                <w:rFonts w:cs="Times New Roman" w:ascii="Times New Roman" w:hAnsi="Times New Roman"/>
                <w:color w:val="000000"/>
                <w:sz w:val="24"/>
                <w:szCs w:val="24"/>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74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pPr>
            <w:r>
              <w:rPr>
                <w:rFonts w:cs="Times New Roman" w:ascii="Times New Roman" w:hAnsi="Times New Roman"/>
                <w:color w:val="000000"/>
                <w:sz w:val="24"/>
                <w:szCs w:val="24"/>
                <w:lang w:eastAsia="ru-RU"/>
              </w:rPr>
              <w:t>Не более 0</w:t>
            </w:r>
          </w:p>
        </w:tc>
      </w:tr>
    </w:tbl>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Индикативные показатели муниципального контроля на автомобильном транспорте и в дорожном хозяйстве на территории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количество обращений граждан и организаций о нарушении обязательных требований, поступивших в контрольный орган;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количество проведенных контрольным органом внеплановых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 количество выявленных контрольным органом нарушений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 количество устраненных нарушений обязательных т</w:t>
      </w:r>
      <w:bookmarkStart w:id="12" w:name="_GoBack"/>
      <w:bookmarkEnd w:id="12"/>
      <w:r>
        <w:rPr>
          <w:rFonts w:cs="Times New Roman" w:ascii="Times New Roman" w:hAnsi="Times New Roman"/>
          <w:color w:val="000000"/>
          <w:sz w:val="24"/>
          <w:szCs w:val="24"/>
          <w:lang w:eastAsia="ru-RU"/>
        </w:rPr>
        <w:t>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 количество поступивших возражений в отношении акта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7) количество выданных контрольным органом предписаний об устранении нарушений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pPr>
      <w:r>
        <w:rPr>
          <w:rFonts w:cs="Times New Roman" w:ascii="Times New Roman" w:hAnsi="Times New Roman"/>
          <w:color w:val="000000"/>
          <w:sz w:val="24"/>
          <w:szCs w:val="24"/>
          <w:lang w:eastAsia="ru-RU"/>
        </w:rPr>
        <w:t>Приложение №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pPr>
      <w:r>
        <w:rPr>
          <w:rFonts w:cs="Times New Roman" w:ascii="Times New Roman" w:hAnsi="Times New Roman"/>
          <w:color w:val="000000"/>
          <w:sz w:val="24"/>
          <w:szCs w:val="24"/>
          <w:lang w:eastAsia="ru-RU"/>
        </w:rPr>
        <w:t xml:space="preserve">к Решению муниципального образования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color w:val="000000"/>
          <w:sz w:val="21"/>
          <w:szCs w:val="21"/>
          <w:lang w:eastAsia="ru-RU"/>
        </w:rPr>
      </w:pPr>
      <w:r>
        <w:rPr>
          <w:rFonts w:cs="Times New Roman" w:ascii="Times New Roman" w:hAnsi="Times New Roman"/>
          <w:color w:val="000000"/>
          <w:sz w:val="24"/>
          <w:szCs w:val="24"/>
          <w:lang w:eastAsia="ru-RU"/>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color w:val="000000"/>
          <w:sz w:val="21"/>
          <w:szCs w:val="21"/>
          <w:lang w:eastAsia="ru-RU"/>
        </w:rPr>
      </w:pPr>
      <w:r>
        <w:rPr>
          <w:rFonts w:cs="Times New Roman" w:ascii="Times New Roman" w:hAnsi="Times New Roman"/>
          <w:color w:val="000000"/>
          <w:sz w:val="24"/>
          <w:szCs w:val="24"/>
          <w:lang w:eastAsia="ru-RU"/>
        </w:rPr>
        <w:t>от _________ 2021 г. № ______</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color w:val="000000"/>
          <w:sz w:val="21"/>
          <w:szCs w:val="21"/>
          <w:lang w:eastAsia="ru-RU"/>
        </w:rPr>
      </w:pPr>
      <w:bookmarkStart w:id="13" w:name="p384"/>
      <w:bookmarkEnd w:id="13"/>
      <w:r>
        <w:rPr>
          <w:rFonts w:cs="Arial" w:ascii="Arial" w:hAnsi="Arial"/>
          <w:b/>
          <w:bCs/>
          <w:color w:val="000000"/>
          <w:sz w:val="24"/>
          <w:szCs w:val="24"/>
          <w:lang w:eastAsia="ru-RU"/>
        </w:rPr>
        <w:t>ПЕРЕЧЕНЬ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color w:val="000000"/>
          <w:sz w:val="21"/>
          <w:szCs w:val="21"/>
          <w:lang w:eastAsia="ru-RU"/>
        </w:rPr>
      </w:pPr>
      <w:r>
        <w:rPr>
          <w:rFonts w:cs="Arial" w:ascii="Arial" w:hAnsi="Arial"/>
          <w:b/>
          <w:bCs/>
          <w:color w:val="000000"/>
          <w:sz w:val="24"/>
          <w:szCs w:val="24"/>
          <w:lang w:eastAsia="ru-RU"/>
        </w:rPr>
        <w:t>ИНДИКАТОРОВ РИСКА НАРУШЕНИЯ ОБЯЗАТЕЛЬНЫХ ТРЕБОВАНИЙ В СФЕРЕ МУНИЦИПАЛЬНОГО КОНТРОЛЯ НА АВТОМОБИЛЬНОМ ТРАНСПОРТЕ И В ДОРОЖНОМ ХОЗЯЙСТВЕ НА ТЕРРИТОРИИ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color w:val="000000"/>
          <w:sz w:val="21"/>
          <w:szCs w:val="21"/>
          <w:lang w:eastAsia="ru-RU"/>
        </w:rPr>
      </w:pPr>
      <w:r>
        <w:rPr>
          <w:rFonts w:cs="Arial" w:ascii="Arial" w:hAnsi="Arial"/>
          <w:b/>
          <w:bCs/>
          <w:color w:val="000000"/>
          <w:sz w:val="24"/>
          <w:szCs w:val="24"/>
          <w:lang w:eastAsia="ru-RU"/>
        </w:rPr>
        <w:t>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1. Поступление информации о загрязнении и (или) повреждении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2. Наличие признаков нарушения обязательных требований при осуществлении дорожной деятельности.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3. Наличие признаков нарушения обязательных требований при эксплуатации объектов дорожного сервиса, размещенных в полосах отвода и (или) придорожных полосах автомобильных дорог.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4. Наличие признаков нарушения обязательных требований при осуществлении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5. Поступление информации об истечении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6. Поступление информации о несоответствии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color w:val="000000"/>
          <w:sz w:val="21"/>
          <w:szCs w:val="21"/>
          <w:lang w:eastAsia="ru-RU"/>
        </w:rPr>
      </w:pPr>
      <w:r>
        <w:rPr>
          <w:rFonts w:cs="Times New Roman" w:ascii="Times New Roman" w:hAnsi="Times New Roman"/>
          <w:color w:val="000000"/>
          <w:sz w:val="24"/>
          <w:szCs w:val="24"/>
          <w:lang w:eastAsia="ru-RU"/>
        </w:rPr>
        <w:t>7. Поступление информации о нарушении обязательных требований при производстве дорожных работ.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color w:val="000000"/>
          <w:sz w:val="24"/>
          <w:szCs w:val="24"/>
          <w:lang w:eastAsia="ru-RU"/>
        </w:rPr>
      </w:pPr>
      <w:r>
        <w:rPr>
          <w:rFonts w:cs="Times New Roman" w:ascii="Times New Roman" w:hAnsi="Times New Roman"/>
          <w:color w:val="000000"/>
          <w:sz w:val="24"/>
          <w:szCs w:val="24"/>
          <w:lang w:eastAsia="ru-RU"/>
        </w:rPr>
      </w:r>
    </w:p>
    <w:p>
      <w:pPr>
        <w:pStyle w:val="Normal"/>
        <w:spacing w:before="0" w:after="160"/>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Microsoft Sans Serif">
    <w:charset w:val="cc"/>
    <w:family w:val="roman"/>
    <w:pitch w:val="variable"/>
  </w:font>
  <w:font w:name="Liberation Sans">
    <w:altName w:val="Arial"/>
    <w:charset w:val="cc"/>
    <w:family w:val="roman"/>
    <w:pitch w:val="variable"/>
  </w:font>
  <w:font w:name="Arial">
    <w:charset w:val="cc"/>
    <w:family w:val="roman"/>
    <w:pitch w:val="variable"/>
  </w:font>
  <w:font w:name="Verdana">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88"/>
  <w:embedSystemFonts/>
  <w:defaultTabStop w:val="708"/>
  <w:compat>
    <w:compatSetting w:name="compatibilityMode" w:uri="http://schemas.microsoft.com/office/word" w:val="1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57247"/>
    <w:pPr>
      <w:widowControl/>
      <w:bidi w:val="0"/>
      <w:spacing w:lineRule="auto" w:line="259" w:before="0" w:after="160"/>
      <w:jc w:val="left"/>
    </w:pPr>
    <w:rPr>
      <w:rFonts w:ascii="Calibri" w:hAnsi="Calibri" w:eastAsia="Calibri" w:cs="Calibri"/>
      <w:color w:val="00000A"/>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rPr>
      <w:color w:val="000080"/>
      <w:u w:val="single"/>
      <w:lang w:val="zxx" w:eastAsia="zxx" w:bidi="zxx"/>
    </w:rPr>
  </w:style>
  <w:style w:type="character" w:styleId="FontStyle17">
    <w:name w:val="Font Style17"/>
    <w:qFormat/>
    <w:rPr>
      <w:rFonts w:ascii="Microsoft Sans Serif" w:hAnsi="Microsoft Sans Serif" w:cs="Microsoft Sans Serif"/>
      <w:sz w:val="16"/>
      <w:szCs w:val="16"/>
    </w:rPr>
  </w:style>
  <w:style w:type="paragraph" w:styleId="Style15">
    <w:name w:val="Заголовок"/>
    <w:basedOn w:val="Normal"/>
    <w:next w:val="Style16"/>
    <w:qFormat/>
    <w:pPr>
      <w:keepNext/>
      <w:spacing w:before="240" w:after="120"/>
    </w:pPr>
    <w:rPr>
      <w:rFonts w:ascii="Liberation Sans" w:hAnsi="Liberation Sans" w:eastAsia="Microsoft YaHei" w:cs="Mang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ConsPlusTitle" w:customStyle="1">
    <w:name w:val="ConsPlusTitle"/>
    <w:uiPriority w:val="99"/>
    <w:qFormat/>
    <w:rsid w:val="007f543d"/>
    <w:pPr>
      <w:widowControl w:val="false"/>
      <w:bidi w:val="0"/>
      <w:jc w:val="left"/>
    </w:pPr>
    <w:rPr>
      <w:rFonts w:ascii="Arial" w:hAnsi="Arial" w:eastAsia="Times New Roman" w:cs="Arial"/>
      <w:b/>
      <w:bCs/>
      <w:color w:val="00000A"/>
      <w:sz w:val="24"/>
      <w:szCs w:val="24"/>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Application>LibreOffice/5.3.0.3$Windows_X86_64 LibreOffice_project/7074905676c47b82bbcfbea1aeefc84afe1c50e1</Application>
  <Pages>18</Pages>
  <Words>6344</Words>
  <Characters>48294</Characters>
  <CharactersWithSpaces>54567</CharactersWithSpaces>
  <Paragraphs>330</Paragraphs>
  <Company>Прокуратура РФ</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2021-09-13T07:13:00Z</dcterms:created>
  <dc:creator>Дьяченко Андрей Сергеевич</dc:creator>
  <dc:description/>
  <dc:language>ru-RU</dc:language>
  <cp:lastModifiedBy/>
  <cp:lastPrinted>2021-09-13T07:11:00Z</cp:lastPrinted>
  <dcterms:modified xsi:type="dcterms:W3CDTF">2021-09-23T16:07:04Z</dcterms:modified>
  <cp:revision>11</cp:revision>
  <dc:subject/>
  <dc:title>СОВЕТ ДЕПУТАТОВ МО ЯшкинскийСЕЛЬСОВЕТ КРАСНОГВАРДЕЙСКОГО РАЙОНА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Прокуратура РФ</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