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lineRule="auto" w:line="276" w:before="0" w:after="200"/>
        <w:jc w:val="center"/>
        <w:rPr/>
      </w:pPr>
      <w:r>
        <w:rPr/>
        <w:drawing>
          <wp:inline distT="0" distB="0" distL="0" distR="0">
            <wp:extent cx="723900" cy="93662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9" t="-153" r="-199" b="-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3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 CYR"/>
          <w:b/>
          <w:b/>
          <w:bCs/>
          <w:sz w:val="28"/>
          <w:szCs w:val="28"/>
        </w:rPr>
      </w:pPr>
      <w:r>
        <w:rPr>
          <w:rFonts w:cs="Times New Roman CYR" w:ascii="Times New Roman" w:hAnsi="Times New Roman"/>
          <w:b/>
          <w:bCs/>
          <w:sz w:val="28"/>
          <w:szCs w:val="28"/>
        </w:rPr>
        <w:t>АДМИНИСТРАЦИЯ МУНИЦИПАЛЬНОГО ОБРАЗОВАНИЯ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 CYR"/>
          <w:b/>
          <w:b/>
          <w:bCs/>
          <w:sz w:val="28"/>
          <w:szCs w:val="28"/>
        </w:rPr>
      </w:pPr>
      <w:r>
        <w:rPr>
          <w:rFonts w:cs="Times New Roman CYR" w:ascii="Times New Roman" w:hAnsi="Times New Roman"/>
          <w:b/>
          <w:bCs/>
          <w:sz w:val="28"/>
          <w:szCs w:val="28"/>
        </w:rPr>
        <w:t>ЗАЛЕСОВСКИЙ СЕЛЬСОВЕТ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 CYR" w:ascii="Times New Roman" w:hAnsi="Times New Roman"/>
          <w:b/>
          <w:bCs/>
          <w:caps/>
          <w:sz w:val="28"/>
          <w:szCs w:val="28"/>
        </w:rPr>
        <w:t>КрасногвардейскОГО районА оренбургской</w:t>
      </w:r>
      <w:r>
        <w:rPr>
          <w:rFonts w:cs="Times New Roman CYR" w:ascii="Times New Roman" w:hAnsi="Times New Roman"/>
          <w:b/>
          <w:bCs/>
          <w:sz w:val="28"/>
          <w:szCs w:val="28"/>
        </w:rPr>
        <w:t xml:space="preserve"> ОБЛАСТИ</w:t>
      </w:r>
    </w:p>
    <w:p>
      <w:pPr>
        <w:pStyle w:val="Normal"/>
        <w:spacing w:before="0" w:after="0"/>
        <w:ind w:left="0" w:right="0" w:firstLine="709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 CYR"/>
          <w:b/>
          <w:b/>
          <w:bCs/>
          <w:sz w:val="28"/>
          <w:szCs w:val="28"/>
        </w:rPr>
      </w:pPr>
      <w:r>
        <w:rPr>
          <w:rFonts w:cs="Times New Roman CYR" w:ascii="Times New Roman" w:hAnsi="Times New Roman"/>
          <w:b/>
          <w:bCs/>
          <w:sz w:val="28"/>
          <w:szCs w:val="28"/>
        </w:rPr>
        <w:t>ПОСТАНОВЛЕНИЕ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before="0" w:after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12.01.2022                                                                                                      № 1-п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с. Залесово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00000A"/>
          <w:sz w:val="28"/>
          <w:szCs w:val="28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  <w:highlight w:val="white"/>
        </w:rPr>
      </w:r>
    </w:p>
    <w:p>
      <w:pPr>
        <w:pStyle w:val="Style19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муниципального образования Залесовский сельсовет от 01.12.2021 года </w:t>
      </w:r>
    </w:p>
    <w:p>
      <w:pPr>
        <w:pStyle w:val="Style19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73-п «</w:t>
      </w:r>
      <w:r>
        <w:rPr>
          <w:rFonts w:eastAsia="Segoe UI" w:ascii="Times New Roman" w:hAnsi="Times New Roman"/>
          <w:color w:val="000000"/>
          <w:sz w:val="28"/>
          <w:szCs w:val="28"/>
          <w:lang w:eastAsia="ru-RU"/>
        </w:rPr>
        <w:t xml:space="preserve">Об утверждении муниципальной программы </w:t>
      </w:r>
    </w:p>
    <w:p>
      <w:pPr>
        <w:pStyle w:val="Style19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Segoe UI"/>
          <w:color w:val="000000"/>
          <w:sz w:val="28"/>
          <w:szCs w:val="28"/>
          <w:lang w:eastAsia="ru-RU"/>
        </w:rPr>
      </w:pPr>
      <w:r>
        <w:rPr>
          <w:rFonts w:eastAsia="Segoe UI" w:ascii="Times New Roman" w:hAnsi="Times New Roman"/>
          <w:color w:val="000000"/>
          <w:sz w:val="28"/>
          <w:szCs w:val="28"/>
          <w:lang w:eastAsia="ru-RU"/>
        </w:rPr>
        <w:t xml:space="preserve">«Устойчивое развитие территории муниципального образования </w:t>
      </w:r>
    </w:p>
    <w:p>
      <w:pPr>
        <w:pStyle w:val="Style19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Segoe UI"/>
          <w:color w:val="000000"/>
          <w:sz w:val="28"/>
          <w:szCs w:val="28"/>
          <w:lang w:eastAsia="ru-RU"/>
        </w:rPr>
      </w:pPr>
      <w:r>
        <w:rPr>
          <w:rFonts w:eastAsia="Segoe UI" w:ascii="Times New Roman" w:hAnsi="Times New Roman"/>
          <w:color w:val="000000"/>
          <w:sz w:val="28"/>
          <w:szCs w:val="28"/>
          <w:lang w:eastAsia="ru-RU"/>
        </w:rPr>
        <w:t xml:space="preserve">Залесовский сельсовет Красногвардейского района </w:t>
      </w:r>
    </w:p>
    <w:p>
      <w:pPr>
        <w:pStyle w:val="Style19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Segoe UI"/>
          <w:color w:val="000000"/>
          <w:sz w:val="28"/>
          <w:szCs w:val="28"/>
          <w:lang w:eastAsia="ru-RU"/>
        </w:rPr>
      </w:pPr>
      <w:r>
        <w:rPr>
          <w:rFonts w:eastAsia="Segoe UI" w:ascii="Times New Roman" w:hAnsi="Times New Roman"/>
          <w:color w:val="000000"/>
          <w:sz w:val="28"/>
          <w:szCs w:val="28"/>
          <w:lang w:eastAsia="ru-RU"/>
        </w:rPr>
        <w:t>Оренбургской области»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hanging="0"/>
        <w:jc w:val="center"/>
        <w:textAlignment w:val="baseline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hanging="0"/>
        <w:jc w:val="center"/>
        <w:textAlignment w:val="baseline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  от 23.11.2009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  <w:r>
        <w:rPr>
          <w:rFonts w:ascii="Times New Roman" w:hAnsi="Times New Roman"/>
          <w:sz w:val="28"/>
          <w:szCs w:val="28"/>
          <w:lang w:eastAsia="ar-SA"/>
        </w:rPr>
        <w:t xml:space="preserve">, Уставом муниципального образования Залесовский сельсовет Красногвардейского района Оренбургской области, постановлением администрации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сельсовета от 26 июля 2019 года № 49-п «</w:t>
      </w:r>
      <w:r>
        <w:rPr>
          <w:rFonts w:ascii="Times New Roman" w:hAnsi="Times New Roman"/>
          <w:color w:val="000000"/>
          <w:sz w:val="28"/>
          <w:szCs w:val="28"/>
        </w:rPr>
        <w:t xml:space="preserve">Об утверждении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Порядка </w:t>
      </w:r>
      <w:r>
        <w:rPr>
          <w:rFonts w:ascii="Times New Roman" w:hAnsi="Times New Roman"/>
          <w:color w:val="000000"/>
          <w:sz w:val="28"/>
          <w:szCs w:val="28"/>
        </w:rPr>
        <w:t>разработки, реализации и оценки эффективности муниципальных программ муниципального образования Залесовский сельсовет Красногвардейского района Оренбургской области»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  <w:lang w:eastAsia="ar-SA"/>
        </w:rPr>
        <w:t>изменения в постановление администрации муниципального образования Залесовский сельсовет от 01.12.2021 года № 73-п «Об утверждении муниципальной программы «Устойчивое развитие территории муниципального образования Залесовский сельсовет Красногвардейского района Оренбургской области»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eastAsia="Segoe UI" w:ascii="Times New Roman" w:hAnsi="Times New Roman"/>
          <w:bCs/>
          <w:color w:val="000000"/>
          <w:sz w:val="28"/>
          <w:szCs w:val="28"/>
          <w:lang w:eastAsia="ru-RU"/>
        </w:rPr>
        <w:t xml:space="preserve">2. Подпрограмму 5 </w:t>
      </w:r>
      <w:r>
        <w:rPr>
          <w:rFonts w:eastAsia="Segoe UI" w:ascii="Times New Roman" w:hAnsi="Times New Roman"/>
          <w:color w:val="000000"/>
          <w:sz w:val="28"/>
          <w:szCs w:val="28"/>
          <w:lang w:eastAsia="ru-RU"/>
        </w:rPr>
        <w:t>«Энергосбережение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области» Муниципальной программы «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>Устойчивое развитие территории муниципального образования Залесовский сельсовет Красногвардейского района Оренбургской области на 2020-2024годы изложить в новой редакции.</w:t>
      </w:r>
    </w:p>
    <w:p>
      <w:pPr>
        <w:pStyle w:val="Normal"/>
        <w:tabs>
          <w:tab w:val="left" w:pos="0" w:leader="none"/>
        </w:tabs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3.Установить, что настоящее постановление вступает в силу со дня его подписания и подлежит размещению в сети «Интернет».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4. Контроль за исполнением настоящего постановления оставляю за собой.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left" w:pos="804" w:leader="none"/>
        </w:tabs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        Н.Ф.Пастухова</w:t>
      </w:r>
    </w:p>
    <w:p>
      <w:pPr>
        <w:pStyle w:val="Normal"/>
        <w:tabs>
          <w:tab w:val="left" w:pos="804" w:leader="none"/>
        </w:tabs>
        <w:spacing w:lineRule="auto" w:line="240" w:before="0" w:after="0"/>
        <w:rPr>
          <w:rFonts w:ascii="Times New Roman" w:hAnsi="Times New Roman" w:eastAsia="Times New Roman" w:cs="Times New Roman"/>
          <w:color w:val="00000A"/>
          <w:sz w:val="28"/>
          <w:szCs w:val="28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  <w:highlight w:val="white"/>
        </w:rPr>
      </w:r>
    </w:p>
    <w:p>
      <w:pPr>
        <w:pStyle w:val="Normal"/>
        <w:tabs>
          <w:tab w:val="left" w:pos="804" w:leader="none"/>
        </w:tabs>
        <w:spacing w:lineRule="auto" w:line="240" w:before="0" w:after="0"/>
        <w:rPr>
          <w:rFonts w:ascii="Times New Roman" w:hAnsi="Times New Roman" w:eastAsia="Times New Roman" w:cs="Times New Roman"/>
          <w:color w:val="00000A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highlight w:val="white"/>
        </w:rPr>
      </w:r>
    </w:p>
    <w:p>
      <w:pPr>
        <w:pStyle w:val="Normal"/>
        <w:tabs>
          <w:tab w:val="left" w:pos="804" w:leader="none"/>
        </w:tabs>
        <w:spacing w:lineRule="auto" w:line="240" w:before="0" w:after="0"/>
        <w:rPr>
          <w:rFonts w:ascii="Times New Roman" w:hAnsi="Times New Roman" w:eastAsia="Times New Roman" w:cs="Times New Roman"/>
          <w:color w:val="00000A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highlight w:val="white"/>
        </w:rPr>
      </w:r>
    </w:p>
    <w:p>
      <w:pPr>
        <w:pStyle w:val="Normal"/>
        <w:tabs>
          <w:tab w:val="left" w:pos="804" w:leader="none"/>
        </w:tabs>
        <w:spacing w:lineRule="auto" w:line="240" w:before="0" w:after="0"/>
        <w:rPr>
          <w:rFonts w:ascii="Times New Roman" w:hAnsi="Times New Roman" w:eastAsia="Times New Roman" w:cs="Times New Roman"/>
          <w:color w:val="00000A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highlight w:val="white"/>
        </w:rPr>
      </w:r>
    </w:p>
    <w:p>
      <w:pPr>
        <w:pStyle w:val="Normal"/>
        <w:tabs>
          <w:tab w:val="left" w:pos="804" w:leader="none"/>
        </w:tabs>
        <w:spacing w:lineRule="auto" w:line="240" w:before="0" w:after="0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highlight w:val="white"/>
        </w:rPr>
        <w:t>Разослано: в дело, финотдел администрации района, бухгалтеру, прокурору района.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  <w:t>Приложение</w:t>
      </w:r>
    </w:p>
    <w:p>
      <w:pPr>
        <w:pStyle w:val="Standard"/>
        <w:ind w:left="4389" w:right="0" w:firstLine="57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  <w:t> </w:t>
      </w:r>
      <w:r>
        <w:rPr>
          <w:rFonts w:eastAsia="Times New Roman" w:cs="Times New Roman" w:ascii="Times New Roman" w:hAnsi="Times New Roman"/>
          <w:color w:val="00000A"/>
          <w:highlight w:val="white"/>
        </w:rPr>
        <w:t>к постановлению администрации</w:t>
      </w:r>
    </w:p>
    <w:p>
      <w:pPr>
        <w:pStyle w:val="Standard"/>
        <w:ind w:left="4389" w:right="0" w:firstLine="57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  <w:t>муниципального образования</w:t>
      </w:r>
    </w:p>
    <w:p>
      <w:pPr>
        <w:pStyle w:val="Standard"/>
        <w:ind w:left="4389" w:right="0" w:firstLine="57"/>
        <w:jc w:val="right"/>
        <w:rPr>
          <w:rFonts w:ascii="Times New Roman" w:hAnsi="Times New Roman" w:eastAsia="Times New Roman" w:cs="Times New Roman"/>
          <w:color w:val="00000A"/>
          <w:highlight w:val="white"/>
        </w:rPr>
      </w:pPr>
      <w:r>
        <w:rPr>
          <w:rFonts w:eastAsia="Times New Roman" w:cs="Times New Roman" w:ascii="Times New Roman" w:hAnsi="Times New Roman"/>
          <w:color w:val="00000A"/>
          <w:highlight w:val="white"/>
        </w:rPr>
        <w:t>Залесовский сельсовет</w:t>
      </w:r>
    </w:p>
    <w:p>
      <w:pPr>
        <w:pStyle w:val="Standard"/>
        <w:ind w:left="4389" w:right="0" w:firstLine="57"/>
        <w:jc w:val="right"/>
        <w:rPr/>
      </w:pPr>
      <w:r>
        <w:rPr>
          <w:rFonts w:eastAsia="Times New Roman" w:cs="Times New Roman" w:ascii="Times New Roman" w:hAnsi="Times New Roman"/>
          <w:color w:val="00000A"/>
          <w:highlight w:val="white"/>
        </w:rPr>
        <w:t>от 12.01.2022 № 1-п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2"/>
          <w:highlight w:val="white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  <w:highlight w:val="white"/>
        </w:rPr>
        <w:t>Подпрограмма № 5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  <w:highlight w:val="white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  <w:highlight w:val="white"/>
        </w:rPr>
      </w:r>
    </w:p>
    <w:p>
      <w:pPr>
        <w:pStyle w:val="Standard"/>
        <w:bidi w:val="0"/>
        <w:spacing w:before="0" w:after="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  <w:highlight w:val="white"/>
        </w:rPr>
        <w:t> </w:t>
      </w:r>
      <w:r>
        <w:rPr>
          <w:rFonts w:eastAsia="Times New Roman" w:cs="Times New Roman" w:ascii="Times New Roman" w:hAnsi="Times New Roman"/>
          <w:b/>
          <w:color w:val="00000A"/>
          <w:sz w:val="24"/>
          <w:szCs w:val="24"/>
          <w:highlight w:val="white"/>
        </w:rPr>
        <w:t>Муниципальная подпрограмма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«Энергосбережение и повышение энергетической эффективности 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муниципальном образовании Залесовский сельсовет 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Красногвардейского района Оренбургской области»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Паспорт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муниципальной подпрограммы «Энергосбережение и повышение 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энергетической эффективности в муниципальном образовании 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Залесовский сельсовет Красногвардейского района </w:t>
      </w:r>
    </w:p>
    <w:p>
      <w:pPr>
        <w:pStyle w:val="Standard"/>
        <w:bidi w:val="0"/>
        <w:spacing w:before="0" w:after="0"/>
        <w:jc w:val="center"/>
        <w:rPr>
          <w:rFonts w:eastAsia="Times New Roman" w:cs="Times New Roman"/>
          <w:color w:val="00000A"/>
          <w:sz w:val="24"/>
        </w:rPr>
      </w:pPr>
      <w:r>
        <w:rPr>
          <w:rFonts w:eastAsia="Times New Roman" w:cs="Times New Roman" w:ascii="Times New Roman" w:hAnsi="Times New Roman"/>
          <w:b/>
          <w:color w:val="00000A"/>
          <w:sz w:val="24"/>
          <w:szCs w:val="24"/>
          <w:highlight w:val="white"/>
        </w:rPr>
        <w:t xml:space="preserve">Оренбургской области»» </w:t>
      </w:r>
    </w:p>
    <w:p>
      <w:pPr>
        <w:pStyle w:val="Standard"/>
        <w:bidi w:val="0"/>
        <w:spacing w:before="0" w:after="0"/>
        <w:jc w:val="center"/>
        <w:rPr>
          <w:rFonts w:ascii="Times New Roman" w:hAnsi="Times New Roman"/>
          <w:b/>
          <w:b/>
          <w:szCs w:val="24"/>
          <w:highlight w:val="white"/>
        </w:rPr>
      </w:pPr>
      <w:r>
        <w:rPr>
          <w:rFonts w:ascii="Times New Roman" w:hAnsi="Times New Roman"/>
          <w:b/>
          <w:szCs w:val="24"/>
          <w:highlight w:val="white"/>
        </w:rPr>
      </w:r>
    </w:p>
    <w:tbl>
      <w:tblPr>
        <w:tblW w:w="9366" w:type="dxa"/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5" w:type="dxa"/>
          <w:bottom w:w="0" w:type="dxa"/>
          <w:right w:w="10" w:type="dxa"/>
        </w:tblCellMar>
      </w:tblPr>
      <w:tblGrid>
        <w:gridCol w:w="3129"/>
        <w:gridCol w:w="6236"/>
      </w:tblGrid>
      <w:tr>
        <w:trPr>
          <w:trHeight w:val="715" w:hRule="atLeast"/>
        </w:trPr>
        <w:tc>
          <w:tcPr>
            <w:tcW w:w="3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14"/>
              <w:shd w:val="clear" w:fill="FFFFFF"/>
              <w:spacing w:lineRule="auto" w:line="240" w:before="0" w:after="0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Залесовский сельсовет Красногвардейского района Оренбургской области </w:t>
            </w:r>
          </w:p>
        </w:tc>
      </w:tr>
      <w:tr>
        <w:trPr>
          <w:trHeight w:val="410" w:hRule="atLeast"/>
        </w:trPr>
        <w:tc>
          <w:tcPr>
            <w:tcW w:w="3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14"/>
              <w:shd w:val="clear" w:fill="FFFFFF"/>
              <w:spacing w:lineRule="auto" w:line="240" w:before="0" w:after="0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>
        <w:trPr>
          <w:trHeight w:val="715" w:hRule="atLeast"/>
        </w:trPr>
        <w:tc>
          <w:tcPr>
            <w:tcW w:w="3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14"/>
              <w:shd w:val="clear" w:fill="FFFFFF"/>
              <w:spacing w:lineRule="auto" w:line="240" w:before="0" w:after="0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Залесовский сельсовет Красногвардейского района Оренбургской области </w:t>
            </w:r>
          </w:p>
        </w:tc>
      </w:tr>
      <w:tr>
        <w:trPr>
          <w:trHeight w:val="470" w:hRule="atLeast"/>
        </w:trPr>
        <w:tc>
          <w:tcPr>
            <w:tcW w:w="3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14"/>
              <w:shd w:val="clear" w:fill="FFFFFF"/>
              <w:spacing w:lineRule="auto" w:line="240" w:before="0" w:after="0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Подпрограммы программы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Отсутствуют </w:t>
            </w:r>
          </w:p>
        </w:tc>
      </w:tr>
      <w:tr>
        <w:trPr>
          <w:trHeight w:val="605" w:hRule="atLeast"/>
        </w:trPr>
        <w:tc>
          <w:tcPr>
            <w:tcW w:w="3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14"/>
              <w:shd w:val="clear" w:fill="FFFFFF"/>
              <w:spacing w:lineRule="auto" w:line="240" w:before="0" w:after="0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Обеспечение   рационального   использования   энергетических ресурсов за счет повышения культуры потребления энергетических ресурсов населением, формирование целевой модели поведения направленной на бережное отношение к имеющимся ресурсам, применение современных энергосберегающих технологий, увеличивающих к.п.д использования энергоресурсов.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347" w:hRule="atLeast"/>
        </w:trPr>
        <w:tc>
          <w:tcPr>
            <w:tcW w:w="3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14"/>
              <w:shd w:val="clear" w:fill="FFFFFF"/>
              <w:spacing w:lineRule="auto" w:line="240" w:before="0" w:after="0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Выполнение технических и организационных мероприятий, способствующих повышению показателей энергосбережения и энергетической эффективности.</w:t>
            </w:r>
          </w:p>
          <w:p>
            <w:pPr>
              <w:pStyle w:val="Normal"/>
              <w:keepNext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Популяризация способов и методов энергосбережения;</w:t>
            </w:r>
          </w:p>
          <w:p>
            <w:pPr>
              <w:pStyle w:val="Normal"/>
              <w:keepNext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Системность и комплексность проведения мероприятий по энергосбережению и повышению энергетической эффективности.</w:t>
            </w:r>
          </w:p>
        </w:tc>
      </w:tr>
      <w:tr>
        <w:trPr>
          <w:trHeight w:val="274" w:hRule="atLeast"/>
        </w:trPr>
        <w:tc>
          <w:tcPr>
            <w:tcW w:w="3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14"/>
              <w:shd w:val="clear" w:fill="FFFFFF"/>
              <w:spacing w:lineRule="auto" w:line="240" w:before="0" w:after="0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Целевые индикаторы и показатели программы 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ConsPlusCell"/>
              <w:spacing w:lineRule="auto" w:line="24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>Оснащение приборами учета используемых энергетических ресурсов в жилищном фонде, в том числе с использованием интеллектуальных приборов учета, автоматизированных систем и систем диспетчеризации</w:t>
            </w:r>
          </w:p>
          <w:p>
            <w:pPr>
              <w:pStyle w:val="ConsPlusCell"/>
              <w:spacing w:lineRule="auto" w:line="2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>- Энергосбережение и повышению энергетической эффективности жилищного фонда, в том числе по проведению энергоэффективного капитального ремонта общего имущества в многоквартирных домах</w:t>
            </w:r>
          </w:p>
          <w:p>
            <w:pPr>
              <w:pStyle w:val="ConsPlusCell"/>
              <w:spacing w:lineRule="auto" w:line="2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>- Энергосбережение и повышению энергетической эффективности систем коммунальной инфраструктуры, направленных в том числе на развитие жилищно-коммунального хозяйства</w:t>
            </w:r>
          </w:p>
          <w:p>
            <w:pPr>
              <w:pStyle w:val="ConsPlusCell"/>
              <w:spacing w:lineRule="auto" w:line="2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>- Энергосбережение в организациях с участием муниципального образования и повышению энергетической эффективности этих организаций</w:t>
            </w:r>
          </w:p>
          <w:p>
            <w:pPr>
              <w:pStyle w:val="ConsPlusCell"/>
              <w:spacing w:lineRule="auto" w:line="24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>-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</w:t>
            </w:r>
          </w:p>
          <w:p>
            <w:pPr>
              <w:pStyle w:val="ConsPlusCell"/>
              <w:spacing w:lineRule="auto" w:line="24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 xml:space="preserve">- 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</w:t>
            </w:r>
          </w:p>
          <w:p>
            <w:pPr>
              <w:pStyle w:val="ConsPlusCell"/>
              <w:spacing w:lineRule="auto" w:line="24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 xml:space="preserve">- 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Организация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 соответствии с законодательством Российской Федерации</w:t>
            </w:r>
          </w:p>
          <w:p>
            <w:pPr>
              <w:pStyle w:val="ConsPlusCell"/>
              <w:spacing w:lineRule="auto" w:line="2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>- 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</w:p>
          <w:p>
            <w:pPr>
              <w:pStyle w:val="ConsPlusCell"/>
              <w:spacing w:lineRule="auto" w:line="24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>- Энергосбережение в транспортном комплексе и повышению его энергетической эффективности, в том числе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сжиженным 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</w:t>
            </w:r>
          </w:p>
          <w:p>
            <w:pPr>
              <w:pStyle w:val="ConsPlusCell"/>
              <w:spacing w:lineRule="auto" w:line="2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 Доля заполнения и предоставления деклараций в модуле «Информация об энергосбережении и повышении энергетической эффективности»;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Количество установленных отопительных котлов с высоким КПД;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Количество помещений с проведенной реконструкцией системы отопления;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Количество установленных светильников ДНАТ в системе наружного освещения.</w:t>
            </w:r>
          </w:p>
        </w:tc>
      </w:tr>
      <w:tr>
        <w:trPr>
          <w:trHeight w:val="718" w:hRule="atLeast"/>
        </w:trPr>
        <w:tc>
          <w:tcPr>
            <w:tcW w:w="3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14"/>
              <w:shd w:val="clear" w:fill="FFFFFF"/>
              <w:spacing w:lineRule="auto" w:line="240" w:before="0" w:after="0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и этапы реализации программы 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>
          <w:trHeight w:val="918" w:hRule="atLeast"/>
        </w:trPr>
        <w:tc>
          <w:tcPr>
            <w:tcW w:w="3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14"/>
              <w:shd w:val="clear" w:fill="FFFFFF"/>
              <w:spacing w:lineRule="auto" w:line="240" w:before="0" w:after="0"/>
              <w:ind w:left="0" w:right="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Объемы бюджетных ассигнований программы 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бюджетных ассигнований составляет -322.7 тыс. руб.</w:t>
            </w:r>
          </w:p>
          <w:p>
            <w:pPr>
              <w:pStyle w:val="NoSpacing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т. ч. по годам, в тыс. руб.:</w:t>
            </w:r>
          </w:p>
          <w:p>
            <w:pPr>
              <w:pStyle w:val="NoSpacing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2020- 0,0 тыс. руб.</w:t>
            </w:r>
          </w:p>
          <w:p>
            <w:pPr>
              <w:pStyle w:val="NoSpacing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2021-318,2,0 тыс. руб.</w:t>
            </w:r>
          </w:p>
          <w:p>
            <w:pPr>
              <w:pStyle w:val="NoSpacing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2022- 1,5 тыс. руб.</w:t>
            </w:r>
          </w:p>
          <w:p>
            <w:pPr>
              <w:pStyle w:val="NoSpacing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2023- 1,5 тыс. руб.</w:t>
            </w:r>
          </w:p>
          <w:p>
            <w:pPr>
              <w:pStyle w:val="NoSpacing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2024- 1,5 тыс. руб.</w:t>
            </w:r>
          </w:p>
        </w:tc>
      </w:tr>
    </w:tbl>
    <w:p>
      <w:pPr>
        <w:pStyle w:val="NoSpacing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Общая характеристика сферы реализации программы</w:t>
      </w:r>
    </w:p>
    <w:p>
      <w:pPr>
        <w:pStyle w:val="NoSpacing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«Энергосбережение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области» направлена на обеспечение повышения конкурентоспособности, финансовой устойчивости, энергетической безопасности экономики сельсовета, а также роста уровня и качества жизни населения за счет реализации потенциала энергосбережения и повышения энергетической эффективности на основе перехода к рациональному,  ответственному использованию энергетических ресурсов.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в России энергоэффективного общества - это неотъемлемая составляющая развития экономики России по инновационному пути. 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 следует рассматривать как один из основных источников будущего экономического роста. Существенное повышение уровня энергетической эффективности может быть обеспечено только при комплексном подходе к вопросу энергосбережения.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Программой предусмотрен охват муниципальных учреждений части социальной сферы сельсовета (культура), так и населения сельсовета по средствам активной популяризации способов и методов энергосбережения, что способствует проведению единой политики в сфере энергосбережения и повышения энергетической эффективности.</w:t>
      </w:r>
    </w:p>
    <w:p>
      <w:pPr>
        <w:pStyle w:val="NoSpacing"/>
        <w:ind w:left="0" w:right="0" w:firstLine="709"/>
        <w:jc w:val="both"/>
        <w:rPr/>
      </w:pPr>
      <w:r>
        <w:rPr>
          <w:rFonts w:ascii="Times New Roman" w:hAnsi="Times New Roman"/>
          <w:sz w:val="24"/>
          <w:szCs w:val="24"/>
        </w:rPr>
        <w:t>Комплексное решение проблем, связанных с эффективным использованием топливно-энергетических ресурсов, является одной из приоритетных задач экономического развития хозяйственного комплекса муниципального образования. Рост тарифов на тепловую и электрическую энергию, цен на газ, опережающий уровень инфляции, приводит к повышению расходов бюджета на энергообеспечение зданий, учреждений социальной сферы, увеличению коммунальных платежей. Все эти негативные последствия обусловливают объективную необходимость экономии топливно-энергетических ресурсов на территории сельсовета и актуальность проведения целенаправленной политики энергосбережения.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 актуальна задача энергосбережения в социальной и жилищно-коммунальной сферах. Именно в этих сферах расходуется большая часть бюджета.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Приоритеты в сфере реализации программы</w:t>
      </w:r>
    </w:p>
    <w:p>
      <w:pPr>
        <w:pStyle w:val="NoSpacing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Основная цель программы – обеспечение рационального использования   энергетических ресурсов за счет повышения культуры потребления энергетических ресурсов населением, формирование целевой модели поведения направленной на бережное отношение к имеющимся ресурсам, применение современных энергосберегающих технологий увеличивающих к.п.д использования энергоресурсов.</w:t>
      </w:r>
    </w:p>
    <w:p>
      <w:pPr>
        <w:pStyle w:val="NoSpacing"/>
        <w:ind w:left="0" w:right="0" w:firstLine="709"/>
        <w:jc w:val="both"/>
        <w:rPr/>
      </w:pPr>
      <w:r>
        <w:rPr>
          <w:rFonts w:ascii="Times New Roman" w:hAnsi="Times New Roman"/>
          <w:sz w:val="24"/>
          <w:szCs w:val="24"/>
        </w:rPr>
        <w:t>Цель программы соответствуют приоритетам государственной политики, определенной в соответствии</w:t>
      </w:r>
      <w:r>
        <w:rPr>
          <w:rFonts w:ascii="Times New Roman" w:hAnsi="Times New Roman"/>
          <w:color w:val="000000"/>
          <w:sz w:val="24"/>
          <w:szCs w:val="24"/>
        </w:rPr>
        <w:t xml:space="preserve"> с </w:t>
      </w:r>
      <w:hyperlink r:id="rId3">
        <w:r>
          <w:rPr>
            <w:rStyle w:val="Style15"/>
            <w:rFonts w:ascii="Times New Roman" w:hAnsi="Times New Roman"/>
            <w:color w:val="000000"/>
            <w:sz w:val="24"/>
            <w:szCs w:val="24"/>
            <w:u w:val="none"/>
          </w:rPr>
          <w:t>Указом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резидента Российской Федерации от 4 июня 2008 года № 889  «О некоторых мерах по повышению энергетической и экологической эффективности российской экономики», Федеральному Закону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достижения поставленной цели в ходе  реализации  программы  необходимо решить следующие задачи: 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Выполнение технических и организационных мероприятий, способствующих повышению показателей энергосбережения и энергетической эффективности;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Популяризация способов и методов энергосбережения;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Системность и комплексность проведения мероприятий по энергосбережению и повышению энергетической эффективности.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программы, приведет к снижению объемов потребления энергоресурсов на территории сельсовета.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>. Перечень показателей (индикаторов) программы</w:t>
      </w:r>
    </w:p>
    <w:p>
      <w:pPr>
        <w:pStyle w:val="NoSpacing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Spacing"/>
        <w:ind w:left="0" w:right="0" w:firstLine="709"/>
        <w:jc w:val="both"/>
        <w:rPr/>
      </w:pPr>
      <w:r>
        <w:rPr>
          <w:rFonts w:ascii="Times New Roman" w:hAnsi="Times New Roman"/>
          <w:sz w:val="24"/>
          <w:szCs w:val="24"/>
          <w:lang w:bidi="hi-IN"/>
        </w:rPr>
        <w:t xml:space="preserve">Для отслеживания хода </w:t>
      </w:r>
      <w:r>
        <w:rPr>
          <w:rFonts w:ascii="Times New Roman" w:hAnsi="Times New Roman"/>
          <w:sz w:val="24"/>
          <w:szCs w:val="24"/>
        </w:rPr>
        <w:t>реализации программы используются следующие индикаторы: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Заполнение и предоставление деклараций в модуле «Информация об энергосбережении и повышении энергетической эффективности»;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Пропаганда методов и технологий энергосбережения и повышения энергетической эффективности;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Корректировка планируемых значений целевых показателей в области энергосбережения и повышения энергоэффективности с учетом достигнутых результатов реализации программы и в случае изменения социально-экономической ситуации проводится ежегодно в установленные сроки. Перечень показателей (индикаторов) программы приведены в таблице приложения № 1 к программе.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/>
          <w:b/>
          <w:sz w:val="24"/>
          <w:szCs w:val="24"/>
        </w:rPr>
        <w:t>. Перечень основных мероприятий программы</w:t>
      </w:r>
    </w:p>
    <w:p>
      <w:pPr>
        <w:pStyle w:val="NoSpacing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программе предусмотрены следующие мероприятия по достижению целей и показателей реализации программы: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Консультации и контроль за заполнением и размещением деклараций в Модуле;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Информационное обеспечение энергосбережения;</w:t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основных мероприятий муниципальной программы приведен в таблице приложения № 2 к программе.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sz w:val="24"/>
          <w:szCs w:val="24"/>
        </w:rPr>
        <w:t>. Ресурсное обеспечение реализации программы</w:t>
      </w:r>
    </w:p>
    <w:p>
      <w:pPr>
        <w:pStyle w:val="NoSpacing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Spacing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Основным источником финансирования мероприятий программы являются средства бюджета муниципального образования Залесовский сельсовет Красногвардейского района, средства федерального, областного бюджета согласно закона об областном бюджете. Иных источников финансирования программы не предусмотрено. Информация о ресурсном обеспечении реализации программы «Энергосбережение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области» на 2020-2024 годы предоставлена в таблице приложения № 3 к программе.  </w:t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240" w:charSpace="4294961151"/>
        </w:sectPr>
        <w:pStyle w:val="NoSpacing"/>
        <w:spacing w:lineRule="auto" w:line="276" w:before="0" w:after="200"/>
        <w:ind w:left="0" w:right="0" w:firstLine="709"/>
        <w:jc w:val="both"/>
        <w:rPr>
          <w:rFonts w:ascii="Times New Roman" w:hAnsi="Times New Roman" w:eastAsia="Calibri" w:cs="Calibri"/>
          <w:color w:val="00000A"/>
          <w:sz w:val="24"/>
          <w:szCs w:val="24"/>
        </w:rPr>
      </w:pPr>
      <w:r>
        <w:rPr>
          <w:rFonts w:eastAsia="Calibri" w:cs="Calibri" w:ascii="Times New Roman" w:hAnsi="Times New Roman"/>
          <w:color w:val="00000A"/>
          <w:sz w:val="24"/>
          <w:szCs w:val="24"/>
        </w:rPr>
        <w:t>Коэффициент значимости программы для достижения целей программы равен 0,1.</w:t>
      </w:r>
    </w:p>
    <w:p>
      <w:pPr>
        <w:pStyle w:val="NoSpacing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1</w:t>
      </w:r>
    </w:p>
    <w:p>
      <w:pPr>
        <w:pStyle w:val="NoSpacing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ab/>
        <w:t xml:space="preserve">к муниципальной подпрограмме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Энергосбережение и повышение энергетической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эффективности в муниципальном образовании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Красногвардейского района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Оренбургской области»</w:t>
      </w:r>
    </w:p>
    <w:p>
      <w:pPr>
        <w:pStyle w:val="NoSpacing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СВЕДЕНИЯ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показателях (индикаторах) муниципальной программы и их значениях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08" w:type="dxa"/>
        <w:jc w:val="left"/>
        <w:tblInd w:w="5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</w:tblPr>
      <w:tblGrid>
        <w:gridCol w:w="665"/>
        <w:gridCol w:w="9069"/>
        <w:gridCol w:w="2268"/>
        <w:gridCol w:w="500"/>
        <w:gridCol w:w="501"/>
        <w:gridCol w:w="501"/>
        <w:gridCol w:w="500"/>
        <w:gridCol w:w="502"/>
      </w:tblGrid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</w:t>
            </w:r>
          </w:p>
        </w:tc>
        <w:tc>
          <w:tcPr>
            <w:tcW w:w="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2024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bookmarkStart w:id="0" w:name="Par294"/>
            <w:bookmarkEnd w:id="0"/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bidi w:val="0"/>
              <w:spacing w:lineRule="auto" w:line="240"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Оснащение приборами учета используемых энергетических ресурсов в жилищном фонде, в том числе с использованием интеллектуальных приборов учета, автоматизированных систем и систем диспетчеризации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Пропаганда методов и технологий энергосбережения и повышения энергетической эффективности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bidi w:val="0"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Энергосбережение и повышению энергетической эффективности жилищного фонда, в том числе по проведению энергоэффективного капитального ремонта общего имущества в многоквартирных домах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Пропаганда методов и технологий энергосбережения и повышения энергетической эффективности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bidi w:val="0"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Энергосбережение и повышению энергетической эффективности систем коммунальной инфраструктуры, направленных в том числе на развитие жилищно-коммунального хозяйства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официальных писем обращений к организациям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bidi w:val="0"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Энергосбережение в организациях с участием муниципального образования и повышению энергетической эффективности этих организаций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/>
            </w:pPr>
            <w:r>
              <w:rPr>
                <w:rFonts w:ascii="Times New Roman" w:hAnsi="Times New Roman"/>
                <w:color w:val="000000"/>
              </w:rPr>
              <w:t xml:space="preserve">Количество памяток по энергосбережению </w:t>
            </w:r>
            <w:r>
              <w:rPr>
                <w:rFonts w:ascii="Times New Roman" w:hAnsi="Times New Roman"/>
                <w:color w:val="000000"/>
                <w:highlight w:val="white"/>
              </w:rPr>
              <w:t>и повышению энергетической эффективности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bidi w:val="0"/>
              <w:jc w:val="both"/>
              <w:rPr/>
            </w:pPr>
            <w:r>
              <w:rPr>
                <w:rFonts w:ascii="Times New Roman" w:hAnsi="Times New Roman"/>
                <w:color w:val="333333"/>
                <w:highlight w:val="white"/>
              </w:rPr>
              <w:t> </w:t>
            </w:r>
            <w:r>
              <w:rPr>
                <w:rFonts w:ascii="Times New Roman" w:hAnsi="Times New Roman"/>
                <w:highlight w:val="white"/>
              </w:rPr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(По мере выявления) шт.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bidi w:val="0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Организация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 соответствии с законодательством Российской Федерации;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(По мере выявления) шт.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bidi w:val="0"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Стимулирование производителей и потребителей энергетических ресурсов, организаций, осуществляющих передачу энергетических ресурсов, проведению мероприятий по энергосбережению, повышению энергетической эффективности и сокращению потерь энергетических ресурсов;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Пропаганда методов и технологий энергосбережения и повышения энергетической эффективности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bidi w:val="0"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 </w:t>
            </w:r>
            <w:r>
              <w:rPr>
                <w:rFonts w:ascii="Times New Roman" w:hAnsi="Times New Roman"/>
                <w:color w:val="000000"/>
                <w:highlight w:val="white"/>
              </w:rPr>
              <w:t>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Пропаганда методов и технологий энергосбережения и повышения энергетической эффективности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bidi w:val="0"/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Энергосбережение в транспортном комплексе и повышению его энергетической эффективности, в том числе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сжиженным 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Пропаганда методов и технологий энергосбережения и повышения энергетической эффективности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ConsPlusCell"/>
              <w:bidi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Доля заполнения и предоставления деклараций в модуле «Информация об энергосбережении и повышении энергетической эффективности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установленных отопительных  котлов с высоким КПД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помещений с проведенной реконструкцией системы отопления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установленных светильников ДНАТ в системе наружного освещения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2</w:t>
      </w:r>
    </w:p>
    <w:p>
      <w:pPr>
        <w:pStyle w:val="NoSpacing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ab/>
        <w:t xml:space="preserve">к муниципальной подпрограмме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Энергосбережение и повышение энергетической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эффективности в муниципальном образовании </w:t>
      </w:r>
    </w:p>
    <w:p>
      <w:pPr>
        <w:pStyle w:val="NoSpacing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</w:rPr>
        <w:t>Залесовский сельсовет</w:t>
      </w:r>
    </w:p>
    <w:p>
      <w:pPr>
        <w:pStyle w:val="NoSpacing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основных мероприятий муниципальной программы</w:t>
      </w:r>
    </w:p>
    <w:tbl>
      <w:tblPr>
        <w:tblW w:w="14317" w:type="dxa"/>
        <w:jc w:val="left"/>
        <w:tblInd w:w="11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28" w:type="dxa"/>
          <w:left w:w="52" w:type="dxa"/>
          <w:bottom w:w="28" w:type="dxa"/>
          <w:right w:w="62" w:type="dxa"/>
        </w:tblCellMar>
      </w:tblPr>
      <w:tblGrid>
        <w:gridCol w:w="708"/>
        <w:gridCol w:w="2835"/>
        <w:gridCol w:w="1984"/>
        <w:gridCol w:w="1134"/>
        <w:gridCol w:w="1416"/>
        <w:gridCol w:w="2410"/>
        <w:gridCol w:w="1841"/>
        <w:gridCol w:w="1987"/>
      </w:tblGrid>
      <w:tr>
        <w:trPr/>
        <w:tc>
          <w:tcPr>
            <w:tcW w:w="7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5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18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Последствия не реализации основного мероприятия</w:t>
            </w:r>
          </w:p>
        </w:tc>
        <w:tc>
          <w:tcPr>
            <w:tcW w:w="198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Par391"/>
            <w:bookmarkEnd w:id="1"/>
            <w:r>
              <w:rPr>
                <w:rFonts w:ascii="Times New Roman" w:hAnsi="Times New Roman"/>
                <w:sz w:val="24"/>
                <w:szCs w:val="24"/>
              </w:rPr>
              <w:t>Связь с показателями муниципальной программы (подпрограммы) &lt;*&gt;</w:t>
            </w:r>
          </w:p>
        </w:tc>
      </w:tr>
      <w:tr>
        <w:trPr/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8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4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8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4315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bookmarkStart w:id="2" w:name="Par394"/>
            <w:bookmarkEnd w:id="2"/>
            <w:r>
              <w:rPr>
                <w:rFonts w:eastAsia="Times New Roman" w:ascii="Times New Roman" w:hAnsi="Times New Roman"/>
                <w:bCs/>
                <w:sz w:val="24"/>
                <w:szCs w:val="24"/>
                <w:lang w:eastAsia="zh-CN"/>
              </w:rPr>
              <w:t>Программа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zh-CN"/>
              </w:rPr>
              <w:t xml:space="preserve"> «Энергосбережение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области» 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/>
            </w:pPr>
            <w:r>
              <w:rPr>
                <w:rFonts w:ascii="Times New Roman" w:hAnsi="Times New Roman"/>
                <w:color w:val="000000"/>
                <w:highlight w:val="white"/>
              </w:rPr>
              <w:t>Оснащение приборами учета используемых энергетических ресурсов в жилищном фонде, в том числе с использованием интеллектуальных приборов учета, автоматизированных систем и систем диспетчеризации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Сокращение расходов электрической энергии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rPr/>
            </w:pPr>
            <w:r>
              <w:rPr>
                <w:rFonts w:ascii="Times New Roman" w:hAnsi="Times New Roman"/>
                <w:color w:val="000000"/>
              </w:rPr>
              <w:t>Пропаганда методов и технологий энергосбережения и повышения энергетической эффективности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Энергосбережение и повышению энергетической эффективности жилищного фонда, в том числе по проведению энергоэффективного капитального ремонта общего имущества в многоквартирных домах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Сокращение расходов электрической энергии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Пропаганда методов и технологий энергосбережения и повышения энергетической эффективности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Энергосбережение и повышению энергетической эффективности систем коммунальной инфраструктуры, направленных в том числе на развитие жилищно-коммунального хозяйства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Сокращение расходов электрической энергии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Официальные письма, обращения к организациям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Энергосбережение в организациях с участием муниципального образования и повышению энергетической эффективности этих организаций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Сокращение расходов электрической энергии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Памятки по энергосбережению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>и повышению энергетической эффективности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>
                <w:rFonts w:ascii="Times New Roman" w:hAnsi="Times New Roman"/>
                <w:color w:val="333333"/>
                <w:highlight w:val="white"/>
              </w:rPr>
            </w:pPr>
            <w:r>
              <w:rPr>
                <w:rFonts w:ascii="Times New Roman" w:hAnsi="Times New Roman"/>
                <w:color w:val="333333"/>
                <w:highlight w:val="white"/>
              </w:rPr>
              <w:t> </w:t>
            </w:r>
            <w:r>
              <w:rPr>
                <w:rFonts w:ascii="Times New Roman" w:hAnsi="Times New Roman"/>
                <w:color w:val="333333"/>
                <w:highlight w:val="white"/>
              </w:rPr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Сокращение расходов энергетических ресурсов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Доля сокращения    потребления энергетических ресурсов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/>
            </w:pPr>
            <w:r>
              <w:rPr>
                <w:rFonts w:ascii="Times New Roman" w:hAnsi="Times New Roman"/>
                <w:color w:val="333333"/>
                <w:highlight w:val="white"/>
              </w:rPr>
              <w:t>Организация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 соответствии с законодательством Российской Федерации;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Сокращение расходов энергетических ресурсов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Доля сокращения    потребления энергетических ресурсов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Стимулирование производителей и потребителей энергетических ресурсов, организаций, осуществляющих передачу энергетических ресурсов, проведению мероприятий по энергосбережению, повышению энергетической эффективности и сокращению потерь энергетических ресурсов;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Сокращение расходов энергетических ресурсов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Встречи, беседы</w:t>
            </w:r>
          </w:p>
          <w:p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Пропаганда методов и технологий энергосбережения и повышения энергетической эффективности на официальном сайте администрации МО Залесовский сельсовет, социальных сетях.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 </w:t>
            </w:r>
            <w:r>
              <w:rPr>
                <w:rFonts w:ascii="Times New Roman" w:hAnsi="Times New Roman"/>
                <w:color w:val="000000"/>
                <w:highlight w:val="white"/>
              </w:rPr>
              <w:t>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Сокращение расходов энергетических ресурсов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Пропаганда методов и технологий энергосбережения и повышения энергетической эффективности на официальном сайте администрации МО Залесовский сельсовет, социальных сетях.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/>
            </w:pPr>
            <w:r>
              <w:rPr>
                <w:rFonts w:ascii="Times New Roman" w:hAnsi="Times New Roman"/>
                <w:color w:val="000000"/>
                <w:highlight w:val="white"/>
              </w:rPr>
              <w:t>Энергосбережение в транспортном комплексе и повышению его энергетической эффективности, в том числе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сжиженным 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Сокращение расходов энергетических ресурсов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Пропаганда методов и технологий энергосбережения и повышения энергетической эффективности на официальном сайте администрации МО Залесовский сельсовет, социальных сетях.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Заполнение и предоставление деклараций в модуле «Информация об энергосбережении и повышении энергетической эффективности»</w:t>
            </w:r>
          </w:p>
          <w:p>
            <w:pPr>
              <w:pStyle w:val="Style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Получения объективных данных об уровне использования органами местного самоуправления и муниципальными учреждениями о потенциале их энергосбережения и повышения энергетической эффективности, о лицах, имеющих наилучшие показатели, а также об иных показателях, получаемых в результате декларирования потребления энергетических ресурсов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spacing w:lineRule="auto" w: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Доля заполнения и предоставления деклараций в модуле «Информация об энергосбережении и повышении энергетической эффективности»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Приобретение и установка отопительных котлов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Сокращение расходов тепловой и электрической энергии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Доля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установленных отопительных  котлов с высоким КПД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Реконструкция системы отопления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повышение энергетической эффективности потреблении энергетических ресурсов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Доля объемов тепловой энергии, расчеты за которую осуществляются с использование приборов учета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Приобретение и установка светильников ДНАТ в системе наружного освещения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Style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Экономия электрической энергии в системах наружного освещения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Доля светильников ДНАТ в системе наружного освещения в общем количестве светильников</w:t>
            </w:r>
          </w:p>
        </w:tc>
      </w:tr>
    </w:tbl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3</w:t>
      </w:r>
    </w:p>
    <w:p>
      <w:pPr>
        <w:pStyle w:val="NoSpacing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ab/>
        <w:t xml:space="preserve">к муниципальной   подпрограмме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Энергосбережение и повышение энергетической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эффективности в муниципальном образовании </w:t>
      </w:r>
    </w:p>
    <w:p>
      <w:pPr>
        <w:pStyle w:val="NoSpacing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Залесовский сельсовет»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РЕСУРСНОЕ ОБЕСПЕЧЕНИЕ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Реализации муниципальной программы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14508" w:type="dxa"/>
        <w:jc w:val="left"/>
        <w:tblInd w:w="57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</w:tblPr>
      <w:tblGrid>
        <w:gridCol w:w="789"/>
        <w:gridCol w:w="2163"/>
        <w:gridCol w:w="3684"/>
        <w:gridCol w:w="2376"/>
        <w:gridCol w:w="682"/>
        <w:gridCol w:w="564"/>
        <w:gridCol w:w="1248"/>
        <w:gridCol w:w="625"/>
        <w:gridCol w:w="625"/>
        <w:gridCol w:w="626"/>
        <w:gridCol w:w="625"/>
        <w:gridCol w:w="500"/>
      </w:tblGrid>
      <w:tr>
        <w:trPr>
          <w:trHeight w:val="20" w:hRule="atLeast"/>
        </w:trPr>
        <w:tc>
          <w:tcPr>
            <w:tcW w:w="7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6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  <w:tc>
          <w:tcPr>
            <w:tcW w:w="368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37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Главный распределитель бюджетных средств</w:t>
            </w:r>
          </w:p>
        </w:tc>
        <w:tc>
          <w:tcPr>
            <w:tcW w:w="249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8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68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7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РзПр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ЦСР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2024</w:t>
            </w:r>
          </w:p>
        </w:tc>
      </w:tr>
      <w:tr>
        <w:trPr>
          <w:trHeight w:val="20" w:hRule="atLeast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1556" w:hRule="atLeast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Spacing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области»</w:t>
            </w:r>
          </w:p>
        </w:tc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Всего, в том числе:   </w:t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1556" w:hRule="atLeast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/>
            </w:pPr>
            <w:r>
              <w:rPr>
                <w:rFonts w:ascii="Times New Roman" w:hAnsi="Times New Roman"/>
                <w:color w:val="000000"/>
                <w:highlight w:val="white"/>
              </w:rPr>
              <w:t>Оснащение приборами учета используемых энергетических ресурсов в жилищном фонде, в том числе с использованием интеллектуальных приборов учета, автоматизированных систем и систем диспетчеризации</w:t>
            </w:r>
          </w:p>
        </w:tc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1556" w:hRule="atLeast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2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Энергосбережение и повышению энергетической эффективности жилищного фонда, в том числе по проведению энергоэффективного капитального ремонта общего имущества в многоквартирных домах</w:t>
            </w:r>
          </w:p>
        </w:tc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1556" w:hRule="atLeast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3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Энергосбережение и повышению энергетической эффективности систем коммунальной инфраструктуры, направленных в том числе на развитие жилищно-коммунального хозяйства</w:t>
            </w:r>
          </w:p>
        </w:tc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1355" w:hRule="atLeast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4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/>
            </w:pPr>
            <w:r>
              <w:rPr>
                <w:rFonts w:ascii="Times New Roman" w:hAnsi="Times New Roman"/>
                <w:color w:val="000000"/>
                <w:highlight w:val="white"/>
              </w:rPr>
              <w:t>Энергосбережение в организациях с участием муниципального образования и повышению энергетической эффективности этих организаций</w:t>
            </w:r>
          </w:p>
        </w:tc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912" w:hRule="atLeast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5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 </w:t>
            </w:r>
            <w:r>
              <w:rPr>
                <w:rFonts w:ascii="Times New Roman" w:hAnsi="Times New Roman"/>
                <w:color w:val="000000"/>
                <w:highlight w:val="white"/>
              </w:rPr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1556" w:hRule="atLeast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6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/>
            </w:pPr>
            <w:r>
              <w:rPr>
                <w:rFonts w:ascii="Times New Roman" w:hAnsi="Times New Roman"/>
                <w:color w:val="000000"/>
                <w:highlight w:val="white"/>
              </w:rPr>
              <w:t>Организация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 соответствии с законодательством Российской Федерации;</w:t>
            </w:r>
          </w:p>
        </w:tc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203" w:hRule="atLeast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7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/>
            </w:pPr>
            <w:r>
              <w:rPr>
                <w:rFonts w:ascii="Times New Roman" w:hAnsi="Times New Roman"/>
                <w:color w:val="000000"/>
                <w:highlight w:val="white"/>
              </w:rPr>
              <w:t>Стимулирование производи- телей и потребителей энергетических ресурсов, организаций, осуществляющих передачу энергетических ресурсов, проведению мероприятий по энергосбережению, повышению энергетической эффективности и сокращению потерь энергетических ресурсов;</w:t>
            </w:r>
          </w:p>
        </w:tc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1556" w:hRule="atLeast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8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 </w:t>
            </w:r>
            <w:r>
              <w:rPr>
                <w:rFonts w:ascii="Times New Roman" w:hAnsi="Times New Roman"/>
                <w:color w:val="000000"/>
                <w:highlight w:val="white"/>
              </w:rPr>
              <w:t>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1556" w:hRule="atLeast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9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Style25"/>
              <w:tabs>
                <w:tab w:val="left" w:pos="540" w:leader="none"/>
                <w:tab w:val="center" w:pos="7263" w:leader="none"/>
              </w:tabs>
              <w:jc w:val="both"/>
              <w:rPr/>
            </w:pPr>
            <w:r>
              <w:rPr>
                <w:rFonts w:ascii="Times New Roman" w:hAnsi="Times New Roman"/>
                <w:color w:val="000000"/>
                <w:highlight w:val="white"/>
              </w:rPr>
              <w:t>Энергосбережение в транспортном комплексе и повышению его энергетической эффективности, в том числе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сжиженным 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</w:t>
            </w:r>
          </w:p>
        </w:tc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896" w:hRule="atLeast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10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Заполнение и предоставление деклараций в модуле «Информация об энергосбережении и повышении энергетической эффективности»</w:t>
            </w:r>
          </w:p>
        </w:tc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355" w:hRule="atLeast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11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Приобретение и установка отопительных котлов (Залесовский  СДК)</w:t>
            </w:r>
          </w:p>
        </w:tc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3150160220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1370" w:hRule="atLeast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12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Реконструкция системы отопления (Залесовский  СДК)</w:t>
            </w:r>
          </w:p>
        </w:tc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3150160220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684" w:hRule="atLeast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13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ConsPlusCell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Приобретение и установка светильников ДНАТ в системе наружного освещения</w:t>
            </w:r>
          </w:p>
        </w:tc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Залесовский сельсовет</w:t>
            </w:r>
          </w:p>
        </w:tc>
        <w:tc>
          <w:tcPr>
            <w:tcW w:w="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_GoBack"/>
            <w:bookmarkEnd w:id="3"/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3210160110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</w:tr>
    </w:tbl>
    <w:p>
      <w:pPr>
        <w:pStyle w:val="Normal"/>
        <w:bidi w:val="0"/>
        <w:spacing w:lineRule="auto" w:line="240" w:before="0" w:after="0"/>
        <w:jc w:val="center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ru-RU" w:eastAsia="en-US" w:bidi="ar-SA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Style14">
    <w:name w:val="Текст выноски Знак"/>
    <w:basedOn w:val="DefaultParagraphFont"/>
    <w:qFormat/>
    <w:rPr>
      <w:rFonts w:ascii="Tahoma" w:hAnsi="Tahoma" w:eastAsia="Segoe UI" w:cs="Tahoma"/>
      <w:color w:val="000000"/>
      <w:sz w:val="16"/>
      <w:szCs w:val="16"/>
      <w:lang w:eastAsia="ru-RU"/>
    </w:rPr>
  </w:style>
  <w:style w:type="character" w:styleId="1">
    <w:name w:val="Основной шрифт абзаца1"/>
    <w:qFormat/>
    <w:rPr/>
  </w:style>
  <w:style w:type="character" w:styleId="Style15">
    <w:name w:val="Интернет-ссылка"/>
    <w:basedOn w:val="DefaultParagraphFont"/>
    <w:rPr>
      <w:color w:val="0000FF"/>
      <w:u w:val="single"/>
    </w:rPr>
  </w:style>
  <w:style w:type="character" w:styleId="ListLabel1">
    <w:name w:val="ListLabel 1"/>
    <w:qFormat/>
    <w:rPr>
      <w:rFonts w:ascii="Times New Roman" w:hAnsi="Times New Roman" w:cs="Symbol"/>
      <w:b/>
      <w:sz w:val="28"/>
    </w:rPr>
  </w:style>
  <w:style w:type="character" w:styleId="ListLabel2">
    <w:name w:val="ListLabel 2"/>
    <w:qFormat/>
    <w:rPr>
      <w:rFonts w:ascii="Times New Roman" w:hAnsi="Times New Roman" w:cs="Symbol"/>
      <w:b/>
      <w:sz w:val="28"/>
    </w:rPr>
  </w:style>
  <w:style w:type="character" w:styleId="ListLabel3">
    <w:name w:val="ListLabel 3"/>
    <w:qFormat/>
    <w:rPr>
      <w:rFonts w:ascii="Times New Roman" w:hAnsi="Times New Roman" w:cs="Symbol"/>
      <w:b/>
      <w:sz w:val="28"/>
    </w:rPr>
  </w:style>
  <w:style w:type="character" w:styleId="ListLabel4">
    <w:name w:val="ListLabel 4"/>
    <w:qFormat/>
    <w:rPr>
      <w:rFonts w:ascii="Times New Roman" w:hAnsi="Times New Roman" w:cs="Symbol"/>
      <w:b/>
      <w:sz w:val="28"/>
    </w:rPr>
  </w:style>
  <w:style w:type="character" w:styleId="ListLabel5">
    <w:name w:val="ListLabel 5"/>
    <w:qFormat/>
    <w:rPr>
      <w:rFonts w:ascii="Times New Roman" w:hAnsi="Times New Roman" w:cs="Symbol"/>
      <w:b/>
      <w:sz w:val="28"/>
    </w:rPr>
  </w:style>
  <w:style w:type="character" w:styleId="ListLabel6">
    <w:name w:val="ListLabel 6"/>
    <w:qFormat/>
    <w:rPr>
      <w:rFonts w:ascii="Times New Roman" w:hAnsi="Times New Roman" w:cs="Symbol"/>
      <w:b/>
      <w:sz w:val="28"/>
    </w:rPr>
  </w:style>
  <w:style w:type="character" w:styleId="ListLabel7">
    <w:name w:val="ListLabel 7"/>
    <w:qFormat/>
    <w:rPr>
      <w:rFonts w:ascii="Times New Roman" w:hAnsi="Times New Roman" w:cs="Symbol"/>
      <w:b/>
      <w:sz w:val="28"/>
    </w:rPr>
  </w:style>
  <w:style w:type="character" w:styleId="ListLabel8">
    <w:name w:val="ListLabel 8"/>
    <w:qFormat/>
    <w:rPr>
      <w:rFonts w:ascii="Times New Roman" w:hAnsi="Times New Roman" w:cs="Symbol"/>
      <w:sz w:val="28"/>
    </w:rPr>
  </w:style>
  <w:style w:type="character" w:styleId="ListLabel9">
    <w:name w:val="ListLabel 9"/>
    <w:qFormat/>
    <w:rPr>
      <w:rFonts w:ascii="Times New Roman" w:hAnsi="Times New Roman" w:cs="Symbol"/>
      <w:b/>
      <w:sz w:val="28"/>
    </w:rPr>
  </w:style>
  <w:style w:type="character" w:styleId="ListLabel10">
    <w:name w:val="ListLabel 10"/>
    <w:qFormat/>
    <w:rPr>
      <w:rFonts w:ascii="Times New Roman" w:hAnsi="Times New Roman" w:cs="Symbol"/>
      <w:sz w:val="28"/>
    </w:rPr>
  </w:style>
  <w:style w:type="character" w:styleId="ListLabel11">
    <w:name w:val="ListLabel 11"/>
    <w:qFormat/>
    <w:rPr>
      <w:rFonts w:cs="Symbol"/>
      <w:b/>
      <w:sz w:val="28"/>
    </w:rPr>
  </w:style>
  <w:style w:type="character" w:styleId="ListLabel12">
    <w:name w:val="ListLabel 12"/>
    <w:qFormat/>
    <w:rPr>
      <w:rFonts w:cs="Symbol"/>
      <w:b/>
      <w:sz w:val="28"/>
    </w:rPr>
  </w:style>
  <w:style w:type="character" w:styleId="ListLabel13">
    <w:name w:val="ListLabel 13"/>
    <w:qFormat/>
    <w:rPr>
      <w:rFonts w:cs="Symbol"/>
      <w:b/>
      <w:sz w:val="28"/>
    </w:rPr>
  </w:style>
  <w:style w:type="character" w:styleId="ListLabel14">
    <w:name w:val="ListLabel 14"/>
    <w:qFormat/>
    <w:rPr>
      <w:rFonts w:cs="Symbol"/>
      <w:b/>
      <w:sz w:val="28"/>
    </w:rPr>
  </w:style>
  <w:style w:type="character" w:styleId="ListLabel15">
    <w:name w:val="ListLabel 15"/>
    <w:qFormat/>
    <w:rPr>
      <w:rFonts w:cs="Symbol"/>
      <w:b/>
      <w:sz w:val="28"/>
    </w:rPr>
  </w:style>
  <w:style w:type="character" w:styleId="ListLabel16">
    <w:name w:val="ListLabel 16"/>
    <w:qFormat/>
    <w:rPr>
      <w:rFonts w:ascii="Times New Roman" w:hAnsi="Times New Roman" w:cs="Symbol"/>
      <w:b/>
      <w:sz w:val="28"/>
    </w:rPr>
  </w:style>
  <w:style w:type="character" w:styleId="ListLabel17">
    <w:name w:val="ListLabel 17"/>
    <w:qFormat/>
    <w:rPr>
      <w:rFonts w:ascii="Times New Roman" w:hAnsi="Times New Roman" w:cs="Symbol"/>
      <w:b/>
      <w:sz w:val="28"/>
    </w:rPr>
  </w:style>
  <w:style w:type="character" w:styleId="ListLabel18">
    <w:name w:val="ListLabel 18"/>
    <w:qFormat/>
    <w:rPr>
      <w:rFonts w:ascii="Times New Roman" w:hAnsi="Times New Roman" w:cs="Symbol"/>
      <w:sz w:val="28"/>
    </w:rPr>
  </w:style>
  <w:style w:type="character" w:styleId="ListLabel19">
    <w:name w:val="ListLabel 19"/>
    <w:qFormat/>
    <w:rPr>
      <w:rFonts w:ascii="Times New Roman" w:hAnsi="Times New Roman" w:cs="Symbol"/>
      <w:b/>
      <w:sz w:val="28"/>
    </w:rPr>
  </w:style>
  <w:style w:type="character" w:styleId="ListLabel20">
    <w:name w:val="ListLabel 20"/>
    <w:qFormat/>
    <w:rPr>
      <w:rFonts w:ascii="Times New Roman" w:hAnsi="Times New Roman" w:cs="Symbol"/>
      <w:sz w:val="28"/>
    </w:rPr>
  </w:style>
  <w:style w:type="character" w:styleId="ListLabel21">
    <w:name w:val="ListLabel 21"/>
    <w:qFormat/>
    <w:rPr>
      <w:rFonts w:ascii="Times New Roman" w:hAnsi="Times New Roman" w:cs="Symbol"/>
      <w:b/>
      <w:sz w:val="28"/>
    </w:rPr>
  </w:style>
  <w:style w:type="character" w:styleId="ListLabel22">
    <w:name w:val="ListLabel 22"/>
    <w:qFormat/>
    <w:rPr>
      <w:rFonts w:ascii="Times New Roman" w:hAnsi="Times New Roman" w:cs="Symbol"/>
      <w:b/>
      <w:sz w:val="28"/>
    </w:rPr>
  </w:style>
  <w:style w:type="character" w:styleId="ListLabel23">
    <w:name w:val="ListLabel 23"/>
    <w:qFormat/>
    <w:rPr>
      <w:rFonts w:ascii="Times New Roman" w:hAnsi="Times New Roman" w:cs="Symbol"/>
      <w:sz w:val="28"/>
    </w:rPr>
  </w:style>
  <w:style w:type="character" w:styleId="ListLabel24">
    <w:name w:val="ListLabel 24"/>
    <w:qFormat/>
    <w:rPr>
      <w:rFonts w:ascii="Times New Roman" w:hAnsi="Times New Roman" w:cs="Symbol"/>
      <w:b/>
      <w:sz w:val="28"/>
    </w:rPr>
  </w:style>
  <w:style w:type="character" w:styleId="ListLabel25">
    <w:name w:val="ListLabel 25"/>
    <w:qFormat/>
    <w:rPr>
      <w:rFonts w:ascii="Times New Roman" w:hAnsi="Times New Roman" w:cs="Symbol"/>
      <w:sz w:val="28"/>
    </w:rPr>
  </w:style>
  <w:style w:type="character" w:styleId="Style16">
    <w:name w:val="Гипертекстовая ссылка"/>
    <w:qFormat/>
    <w:rPr>
      <w:b/>
      <w:bCs w:val="false"/>
      <w:color w:val="106BBE"/>
      <w:sz w:val="26"/>
    </w:rPr>
  </w:style>
  <w:style w:type="character" w:styleId="ListLabel26">
    <w:name w:val="ListLabel 26"/>
    <w:qFormat/>
    <w:rPr>
      <w:rFonts w:ascii="Times New Roman" w:hAnsi="Times New Roman" w:cs="Symbol"/>
      <w:b/>
      <w:sz w:val="28"/>
    </w:rPr>
  </w:style>
  <w:style w:type="character" w:styleId="ListLabel27">
    <w:name w:val="ListLabel 27"/>
    <w:qFormat/>
    <w:rPr>
      <w:rFonts w:ascii="Times New Roman" w:hAnsi="Times New Roman" w:cs="Symbol"/>
      <w:b/>
      <w:sz w:val="28"/>
    </w:rPr>
  </w:style>
  <w:style w:type="character" w:styleId="ListLabel28">
    <w:name w:val="ListLabel 28"/>
    <w:qFormat/>
    <w:rPr>
      <w:rFonts w:ascii="Times New Roman" w:hAnsi="Times New Roman" w:cs="Symbol"/>
      <w:sz w:val="28"/>
    </w:rPr>
  </w:style>
  <w:style w:type="character" w:styleId="ListLabel29">
    <w:name w:val="ListLabel 29"/>
    <w:qFormat/>
    <w:rPr>
      <w:rFonts w:ascii="Times New Roman" w:hAnsi="Times New Roman" w:cs="Symbol"/>
      <w:b/>
      <w:sz w:val="28"/>
    </w:rPr>
  </w:style>
  <w:style w:type="character" w:styleId="ListLabel30">
    <w:name w:val="ListLabel 30"/>
    <w:qFormat/>
    <w:rPr>
      <w:rFonts w:ascii="Times New Roman" w:hAnsi="Times New Roman" w:cs="Symbol"/>
      <w:sz w:val="28"/>
    </w:rPr>
  </w:style>
  <w:style w:type="character" w:styleId="ListLabel31">
    <w:name w:val="ListLabel 31"/>
    <w:qFormat/>
    <w:rPr>
      <w:rFonts w:ascii="Times New Roman" w:hAnsi="Times New Roman" w:cs="Symbol"/>
      <w:b/>
      <w:sz w:val="28"/>
    </w:rPr>
  </w:style>
  <w:style w:type="character" w:styleId="ListLabel32">
    <w:name w:val="ListLabel 32"/>
    <w:qFormat/>
    <w:rPr>
      <w:rFonts w:ascii="Times New Roman" w:hAnsi="Times New Roman" w:cs="Symbol"/>
      <w:b/>
      <w:sz w:val="28"/>
    </w:rPr>
  </w:style>
  <w:style w:type="character" w:styleId="ListLabel33">
    <w:name w:val="ListLabel 33"/>
    <w:qFormat/>
    <w:rPr>
      <w:rFonts w:ascii="Times New Roman" w:hAnsi="Times New Roman" w:cs="Symbol"/>
      <w:sz w:val="28"/>
    </w:rPr>
  </w:style>
  <w:style w:type="character" w:styleId="ListLabel34">
    <w:name w:val="ListLabel 34"/>
    <w:qFormat/>
    <w:rPr>
      <w:rFonts w:ascii="Times New Roman" w:hAnsi="Times New Roman" w:cs="Symbol"/>
      <w:b/>
      <w:sz w:val="28"/>
    </w:rPr>
  </w:style>
  <w:style w:type="character" w:styleId="ListLabel35">
    <w:name w:val="ListLabel 35"/>
    <w:qFormat/>
    <w:rPr>
      <w:rFonts w:ascii="Times New Roman" w:hAnsi="Times New Roman" w:cs="Symbol"/>
      <w:sz w:val="28"/>
    </w:rPr>
  </w:style>
  <w:style w:type="character" w:styleId="ListLabel36">
    <w:name w:val="ListLabel 36"/>
    <w:qFormat/>
    <w:rPr>
      <w:rFonts w:ascii="Times New Roman" w:hAnsi="Times New Roman" w:cs="Symbol"/>
      <w:b/>
      <w:sz w:val="28"/>
    </w:rPr>
  </w:style>
  <w:style w:type="character" w:styleId="ListLabel37">
    <w:name w:val="ListLabel 37"/>
    <w:qFormat/>
    <w:rPr>
      <w:rFonts w:ascii="Times New Roman" w:hAnsi="Times New Roman" w:cs="Symbol"/>
      <w:b/>
      <w:sz w:val="28"/>
    </w:rPr>
  </w:style>
  <w:style w:type="character" w:styleId="ListLabel38">
    <w:name w:val="ListLabel 38"/>
    <w:qFormat/>
    <w:rPr>
      <w:rFonts w:ascii="Times New Roman" w:hAnsi="Times New Roman" w:cs="Symbol"/>
      <w:sz w:val="28"/>
    </w:rPr>
  </w:style>
  <w:style w:type="character" w:styleId="ListLabel39">
    <w:name w:val="ListLabel 39"/>
    <w:qFormat/>
    <w:rPr>
      <w:rFonts w:ascii="Times New Roman" w:hAnsi="Times New Roman" w:cs="Symbol"/>
      <w:b/>
      <w:sz w:val="28"/>
    </w:rPr>
  </w:style>
  <w:style w:type="character" w:styleId="ListLabel40">
    <w:name w:val="ListLabel 40"/>
    <w:qFormat/>
    <w:rPr>
      <w:rFonts w:ascii="Times New Roman" w:hAnsi="Times New Roman" w:cs="Symbol"/>
      <w:sz w:val="28"/>
    </w:rPr>
  </w:style>
  <w:style w:type="character" w:styleId="ListLabel41">
    <w:name w:val="ListLabel 41"/>
    <w:qFormat/>
    <w:rPr>
      <w:rFonts w:ascii="Times New Roman" w:hAnsi="Times New Roman" w:cs="Symbol"/>
      <w:b/>
      <w:sz w:val="28"/>
    </w:rPr>
  </w:style>
  <w:style w:type="character" w:styleId="ListLabel42">
    <w:name w:val="ListLabel 42"/>
    <w:qFormat/>
    <w:rPr>
      <w:rFonts w:ascii="Times New Roman" w:hAnsi="Times New Roman" w:cs="Symbol"/>
      <w:b/>
      <w:sz w:val="28"/>
    </w:rPr>
  </w:style>
  <w:style w:type="character" w:styleId="ListLabel43">
    <w:name w:val="ListLabel 43"/>
    <w:qFormat/>
    <w:rPr>
      <w:rFonts w:ascii="Times New Roman" w:hAnsi="Times New Roman" w:cs="Symbol"/>
      <w:sz w:val="28"/>
    </w:rPr>
  </w:style>
  <w:style w:type="character" w:styleId="ListLabel44">
    <w:name w:val="ListLabel 44"/>
    <w:qFormat/>
    <w:rPr>
      <w:rFonts w:ascii="Times New Roman" w:hAnsi="Times New Roman" w:cs="Symbol"/>
      <w:b/>
      <w:sz w:val="28"/>
    </w:rPr>
  </w:style>
  <w:style w:type="character" w:styleId="ListLabel45">
    <w:name w:val="ListLabel 45"/>
    <w:qFormat/>
    <w:rPr>
      <w:rFonts w:ascii="Times New Roman" w:hAnsi="Times New Roman" w:cs="Symbol"/>
      <w:sz w:val="28"/>
    </w:rPr>
  </w:style>
  <w:style w:type="character" w:styleId="ListLabel46">
    <w:name w:val="ListLabel 46"/>
    <w:qFormat/>
    <w:rPr>
      <w:rFonts w:ascii="Times New Roman" w:hAnsi="Times New Roman" w:cs="Symbol"/>
      <w:b/>
      <w:sz w:val="28"/>
    </w:rPr>
  </w:style>
  <w:style w:type="character" w:styleId="ListLabel47">
    <w:name w:val="ListLabel 47"/>
    <w:qFormat/>
    <w:rPr>
      <w:rFonts w:ascii="Times New Roman" w:hAnsi="Times New Roman" w:cs="Symbol"/>
      <w:b/>
      <w:sz w:val="28"/>
    </w:rPr>
  </w:style>
  <w:style w:type="character" w:styleId="ListLabel48">
    <w:name w:val="ListLabel 48"/>
    <w:qFormat/>
    <w:rPr>
      <w:rFonts w:ascii="Times New Roman" w:hAnsi="Times New Roman" w:cs="Symbol"/>
      <w:sz w:val="28"/>
    </w:rPr>
  </w:style>
  <w:style w:type="character" w:styleId="ListLabel49">
    <w:name w:val="ListLabel 49"/>
    <w:qFormat/>
    <w:rPr>
      <w:rFonts w:ascii="Times New Roman" w:hAnsi="Times New Roman" w:cs="Symbol"/>
      <w:b/>
      <w:sz w:val="28"/>
    </w:rPr>
  </w:style>
  <w:style w:type="character" w:styleId="ListLabel50">
    <w:name w:val="ListLabel 50"/>
    <w:qFormat/>
    <w:rPr>
      <w:rFonts w:ascii="Times New Roman" w:hAnsi="Times New Roman" w:cs="Symbol"/>
      <w:sz w:val="28"/>
    </w:rPr>
  </w:style>
  <w:style w:type="character" w:styleId="ListLabel51">
    <w:name w:val="ListLabel 51"/>
    <w:qFormat/>
    <w:rPr>
      <w:rFonts w:cs="Symbol"/>
      <w:b/>
      <w:sz w:val="28"/>
    </w:rPr>
  </w:style>
  <w:style w:type="character" w:styleId="ListLabel52">
    <w:name w:val="ListLabel 52"/>
    <w:qFormat/>
    <w:rPr>
      <w:rFonts w:ascii="Times New Roman" w:hAnsi="Times New Roman" w:cs="Symbol"/>
      <w:b/>
      <w:sz w:val="28"/>
    </w:rPr>
  </w:style>
  <w:style w:type="character" w:styleId="ListLabel53">
    <w:name w:val="ListLabel 53"/>
    <w:qFormat/>
    <w:rPr>
      <w:rFonts w:ascii="Times New Roman" w:hAnsi="Times New Roman" w:cs="Symbol"/>
      <w:sz w:val="28"/>
    </w:rPr>
  </w:style>
  <w:style w:type="character" w:styleId="ListLabel54">
    <w:name w:val="ListLabel 54"/>
    <w:qFormat/>
    <w:rPr>
      <w:rFonts w:cs="Symbol"/>
      <w:b/>
      <w:sz w:val="28"/>
    </w:rPr>
  </w:style>
  <w:style w:type="character" w:styleId="ListLabel55">
    <w:name w:val="ListLabel 55"/>
    <w:qFormat/>
    <w:rPr>
      <w:rFonts w:ascii="Times New Roman" w:hAnsi="Times New Roman" w:cs="Symbol"/>
    </w:rPr>
  </w:style>
  <w:style w:type="character" w:styleId="ListLabel56">
    <w:name w:val="ListLabel 56"/>
    <w:qFormat/>
    <w:rPr>
      <w:rFonts w:ascii="Times New Roman" w:hAnsi="Times New Roman" w:cs="Symbol"/>
    </w:rPr>
  </w:style>
  <w:style w:type="character" w:styleId="ListLabel57">
    <w:name w:val="ListLabel 57"/>
    <w:qFormat/>
    <w:rPr>
      <w:rFonts w:ascii="Times New Roman" w:hAnsi="Times New Roman" w:cs="Symbol"/>
    </w:rPr>
  </w:style>
  <w:style w:type="character" w:styleId="ListLabel58">
    <w:name w:val="ListLabel 58"/>
    <w:qFormat/>
    <w:rPr>
      <w:rFonts w:ascii="Times New Roman" w:hAnsi="Times New Roman" w:cs="Symbol"/>
    </w:rPr>
  </w:style>
  <w:style w:type="character" w:styleId="ListLabel59">
    <w:name w:val="ListLabel 59"/>
    <w:qFormat/>
    <w:rPr>
      <w:rFonts w:cs="Symbol"/>
    </w:rPr>
  </w:style>
  <w:style w:type="character" w:styleId="ListLabel60">
    <w:name w:val="ListLabel 60"/>
    <w:qFormat/>
    <w:rPr>
      <w:rFonts w:cs="Symbol"/>
    </w:rPr>
  </w:style>
  <w:style w:type="character" w:styleId="ListLabel61">
    <w:name w:val="ListLabel 61"/>
    <w:qFormat/>
    <w:rPr>
      <w:rFonts w:ascii="Times New Roman" w:hAnsi="Times New Roman" w:cs="Symbol"/>
      <w:color w:val="000000"/>
      <w:sz w:val="20"/>
      <w:szCs w:val="28"/>
      <w:lang w:val="en-US"/>
    </w:rPr>
  </w:style>
  <w:style w:type="character" w:styleId="ListLabel62">
    <w:name w:val="ListLabel 62"/>
    <w:qFormat/>
    <w:rPr>
      <w:rFonts w:ascii="Times New Roman" w:hAnsi="Times New Roman" w:cs="Symbol"/>
      <w:sz w:val="20"/>
    </w:rPr>
  </w:style>
  <w:style w:type="character" w:styleId="ListLabel63">
    <w:name w:val="ListLabel 63"/>
    <w:qFormat/>
    <w:rPr>
      <w:rFonts w:ascii="Times New Roman" w:hAnsi="Times New Roman" w:cs="Symbol"/>
      <w:sz w:val="20"/>
    </w:rPr>
  </w:style>
  <w:style w:type="character" w:styleId="ListLabel64">
    <w:name w:val="ListLabel 64"/>
    <w:qFormat/>
    <w:rPr>
      <w:rFonts w:ascii="Times New Roman" w:hAnsi="Times New Roman" w:cs="Symbol"/>
      <w:sz w:val="20"/>
    </w:rPr>
  </w:style>
  <w:style w:type="character" w:styleId="ListLabel65">
    <w:name w:val="ListLabel 65"/>
    <w:qFormat/>
    <w:rPr>
      <w:rFonts w:ascii="Times New Roman" w:hAnsi="Times New Roman" w:cs="Symbol"/>
      <w:sz w:val="20"/>
    </w:rPr>
  </w:style>
  <w:style w:type="character" w:styleId="ListLabel66">
    <w:name w:val="ListLabel 66"/>
    <w:qFormat/>
    <w:rPr>
      <w:rFonts w:ascii="Times New Roman" w:hAnsi="Times New Roman" w:cs="Symbol"/>
      <w:sz w:val="20"/>
    </w:rPr>
  </w:style>
  <w:style w:type="character" w:styleId="ListLabel67">
    <w:name w:val="ListLabel 67"/>
    <w:qFormat/>
    <w:rPr>
      <w:rFonts w:ascii="Times New Roman" w:hAnsi="Times New Roman" w:cs="Symbol"/>
      <w:color w:val="000000"/>
      <w:sz w:val="20"/>
      <w:szCs w:val="28"/>
    </w:rPr>
  </w:style>
  <w:style w:type="character" w:styleId="Style17">
    <w:name w:val="Посещённая гиперссылка"/>
    <w:rPr>
      <w:color w:val="800000"/>
      <w:u w:val="single"/>
      <w:lang w:val="zxx" w:eastAsia="zxx" w:bidi="zxx"/>
    </w:rPr>
  </w:style>
  <w:style w:type="character" w:styleId="ListLabel68">
    <w:name w:val="ListLabel 68"/>
    <w:qFormat/>
    <w:rPr>
      <w:rFonts w:ascii="Times New Roman" w:hAnsi="Times New Roman" w:cs="Symbol"/>
    </w:rPr>
  </w:style>
  <w:style w:type="character" w:styleId="ListLabel69">
    <w:name w:val="ListLabel 69"/>
    <w:qFormat/>
    <w:rPr>
      <w:rFonts w:ascii="Times New Roman" w:hAnsi="Times New Roman" w:cs="Symbol"/>
    </w:rPr>
  </w:style>
  <w:style w:type="character" w:styleId="ListLabel70">
    <w:name w:val="ListLabel 70"/>
    <w:qFormat/>
    <w:rPr>
      <w:rFonts w:ascii="Times New Roman" w:hAnsi="Times New Roman" w:cs="Symbol"/>
    </w:rPr>
  </w:style>
  <w:style w:type="character" w:styleId="ListLabel71">
    <w:name w:val="ListLabel 71"/>
    <w:qFormat/>
    <w:rPr>
      <w:rFonts w:ascii="Times New Roman" w:hAnsi="Times New Roman" w:cs="Symbol"/>
    </w:rPr>
  </w:style>
  <w:style w:type="character" w:styleId="ListLabel72">
    <w:name w:val="ListLabel 72"/>
    <w:qFormat/>
    <w:rPr>
      <w:rFonts w:cs="Symbol"/>
    </w:rPr>
  </w:style>
  <w:style w:type="character" w:styleId="ListLabel73">
    <w:name w:val="ListLabel 73"/>
    <w:qFormat/>
    <w:rPr>
      <w:rFonts w:ascii="Times New Roman" w:hAnsi="Times New Roman" w:cs="Symbol"/>
      <w:color w:val="000000"/>
      <w:sz w:val="20"/>
      <w:szCs w:val="28"/>
      <w:lang w:val="en-US"/>
    </w:rPr>
  </w:style>
  <w:style w:type="character" w:styleId="ListLabel74">
    <w:name w:val="ListLabel 74"/>
    <w:qFormat/>
    <w:rPr>
      <w:rFonts w:ascii="Times New Roman" w:hAnsi="Times New Roman" w:cs="Symbol"/>
      <w:sz w:val="20"/>
    </w:rPr>
  </w:style>
  <w:style w:type="character" w:styleId="ListLabel75">
    <w:name w:val="ListLabel 75"/>
    <w:qFormat/>
    <w:rPr>
      <w:rFonts w:ascii="Times New Roman" w:hAnsi="Times New Roman" w:cs="Symbol"/>
      <w:sz w:val="20"/>
    </w:rPr>
  </w:style>
  <w:style w:type="character" w:styleId="ListLabel76">
    <w:name w:val="ListLabel 76"/>
    <w:qFormat/>
    <w:rPr>
      <w:rFonts w:ascii="Times New Roman" w:hAnsi="Times New Roman" w:cs="Symbol"/>
      <w:sz w:val="20"/>
    </w:rPr>
  </w:style>
  <w:style w:type="character" w:styleId="ListLabel77">
    <w:name w:val="ListLabel 77"/>
    <w:qFormat/>
    <w:rPr>
      <w:rFonts w:ascii="Times New Roman" w:hAnsi="Times New Roman" w:cs="Symbol"/>
      <w:sz w:val="20"/>
    </w:rPr>
  </w:style>
  <w:style w:type="character" w:styleId="ListLabel78">
    <w:name w:val="ListLabel 78"/>
    <w:qFormat/>
    <w:rPr>
      <w:rFonts w:ascii="Times New Roman" w:hAnsi="Times New Roman" w:cs="Symbol"/>
      <w:sz w:val="20"/>
    </w:rPr>
  </w:style>
  <w:style w:type="character" w:styleId="ListLabel79">
    <w:name w:val="ListLabel 79"/>
    <w:qFormat/>
    <w:rPr>
      <w:rFonts w:ascii="Times New Roman" w:hAnsi="Times New Roman" w:cs="Symbol"/>
      <w:color w:val="000000"/>
      <w:sz w:val="20"/>
      <w:szCs w:val="28"/>
    </w:rPr>
  </w:style>
  <w:style w:type="character" w:styleId="ListLabel80">
    <w:name w:val="ListLabel 80"/>
    <w:qFormat/>
    <w:rPr>
      <w:rFonts w:ascii="Times New Roman" w:hAnsi="Times New Roman" w:cs="Symbol"/>
    </w:rPr>
  </w:style>
  <w:style w:type="character" w:styleId="ListLabel81">
    <w:name w:val="ListLabel 81"/>
    <w:qFormat/>
    <w:rPr>
      <w:rFonts w:ascii="Times New Roman" w:hAnsi="Times New Roman" w:cs="Symbol"/>
    </w:rPr>
  </w:style>
  <w:style w:type="character" w:styleId="ListLabel82">
    <w:name w:val="ListLabel 82"/>
    <w:qFormat/>
    <w:rPr>
      <w:rFonts w:ascii="Times New Roman" w:hAnsi="Times New Roman" w:cs="Symbol"/>
    </w:rPr>
  </w:style>
  <w:style w:type="character" w:styleId="ListLabel83">
    <w:name w:val="ListLabel 83"/>
    <w:qFormat/>
    <w:rPr>
      <w:rFonts w:ascii="Times New Roman" w:hAnsi="Times New Roman" w:cs="Symbol"/>
    </w:rPr>
  </w:style>
  <w:style w:type="character" w:styleId="ListLabel84">
    <w:name w:val="ListLabel 84"/>
    <w:qFormat/>
    <w:rPr>
      <w:rFonts w:cs="Symbol"/>
    </w:rPr>
  </w:style>
  <w:style w:type="character" w:styleId="ListLabel85">
    <w:name w:val="ListLabel 85"/>
    <w:qFormat/>
    <w:rPr>
      <w:rFonts w:ascii="Times New Roman" w:hAnsi="Times New Roman" w:cs="Symbol"/>
      <w:color w:val="000000"/>
      <w:sz w:val="20"/>
      <w:szCs w:val="28"/>
      <w:lang w:val="en-US"/>
    </w:rPr>
  </w:style>
  <w:style w:type="character" w:styleId="ListLabel86">
    <w:name w:val="ListLabel 86"/>
    <w:qFormat/>
    <w:rPr>
      <w:rFonts w:ascii="Times New Roman" w:hAnsi="Times New Roman" w:cs="Symbol"/>
      <w:sz w:val="20"/>
    </w:rPr>
  </w:style>
  <w:style w:type="character" w:styleId="ListLabel87">
    <w:name w:val="ListLabel 87"/>
    <w:qFormat/>
    <w:rPr>
      <w:rFonts w:ascii="Times New Roman" w:hAnsi="Times New Roman" w:cs="Symbol"/>
      <w:sz w:val="20"/>
    </w:rPr>
  </w:style>
  <w:style w:type="character" w:styleId="ListLabel88">
    <w:name w:val="ListLabel 88"/>
    <w:qFormat/>
    <w:rPr>
      <w:rFonts w:ascii="Times New Roman" w:hAnsi="Times New Roman" w:cs="Symbol"/>
      <w:sz w:val="20"/>
    </w:rPr>
  </w:style>
  <w:style w:type="character" w:styleId="ListLabel89">
    <w:name w:val="ListLabel 89"/>
    <w:qFormat/>
    <w:rPr>
      <w:rFonts w:ascii="Times New Roman" w:hAnsi="Times New Roman" w:cs="Symbol"/>
      <w:sz w:val="20"/>
    </w:rPr>
  </w:style>
  <w:style w:type="character" w:styleId="ListLabel90">
    <w:name w:val="ListLabel 90"/>
    <w:qFormat/>
    <w:rPr>
      <w:rFonts w:ascii="Times New Roman" w:hAnsi="Times New Roman" w:cs="Symbol"/>
      <w:sz w:val="20"/>
    </w:rPr>
  </w:style>
  <w:style w:type="character" w:styleId="ListLabel91">
    <w:name w:val="ListLabel 91"/>
    <w:qFormat/>
    <w:rPr>
      <w:rFonts w:ascii="Times New Roman" w:hAnsi="Times New Roman" w:cs="Symbol"/>
      <w:color w:val="000000"/>
      <w:sz w:val="20"/>
      <w:szCs w:val="28"/>
    </w:rPr>
  </w:style>
  <w:style w:type="character" w:styleId="ListLabel92">
    <w:name w:val="ListLabel 92"/>
    <w:qFormat/>
    <w:rPr>
      <w:rFonts w:ascii="Times New Roman" w:hAnsi="Times New Roman" w:cs="Symbol"/>
    </w:rPr>
  </w:style>
  <w:style w:type="character" w:styleId="ListLabel93">
    <w:name w:val="ListLabel 93"/>
    <w:qFormat/>
    <w:rPr>
      <w:rFonts w:ascii="Times New Roman" w:hAnsi="Times New Roman" w:cs="Symbol"/>
    </w:rPr>
  </w:style>
  <w:style w:type="character" w:styleId="ListLabel94">
    <w:name w:val="ListLabel 94"/>
    <w:qFormat/>
    <w:rPr>
      <w:rFonts w:ascii="Times New Roman" w:hAnsi="Times New Roman" w:cs="Symbol"/>
    </w:rPr>
  </w:style>
  <w:style w:type="character" w:styleId="ListLabel95">
    <w:name w:val="ListLabel 95"/>
    <w:qFormat/>
    <w:rPr>
      <w:rFonts w:ascii="Times New Roman" w:hAnsi="Times New Roman" w:cs="Symbol"/>
    </w:rPr>
  </w:style>
  <w:style w:type="character" w:styleId="ListLabel96">
    <w:name w:val="ListLabel 96"/>
    <w:qFormat/>
    <w:rPr>
      <w:rFonts w:cs="Symbol"/>
    </w:rPr>
  </w:style>
  <w:style w:type="character" w:styleId="ListLabel97">
    <w:name w:val="ListLabel 97"/>
    <w:qFormat/>
    <w:rPr>
      <w:rFonts w:ascii="Times New Roman" w:hAnsi="Times New Roman" w:cs="Symbol"/>
      <w:color w:val="000000"/>
      <w:sz w:val="20"/>
      <w:szCs w:val="28"/>
      <w:lang w:val="en-US"/>
    </w:rPr>
  </w:style>
  <w:style w:type="character" w:styleId="ListLabel98">
    <w:name w:val="ListLabel 98"/>
    <w:qFormat/>
    <w:rPr>
      <w:rFonts w:ascii="Times New Roman" w:hAnsi="Times New Roman" w:cs="Symbol"/>
      <w:sz w:val="20"/>
    </w:rPr>
  </w:style>
  <w:style w:type="character" w:styleId="ListLabel99">
    <w:name w:val="ListLabel 99"/>
    <w:qFormat/>
    <w:rPr>
      <w:rFonts w:ascii="Times New Roman" w:hAnsi="Times New Roman" w:cs="Symbol"/>
      <w:sz w:val="20"/>
    </w:rPr>
  </w:style>
  <w:style w:type="character" w:styleId="ListLabel100">
    <w:name w:val="ListLabel 100"/>
    <w:qFormat/>
    <w:rPr>
      <w:rFonts w:ascii="Times New Roman" w:hAnsi="Times New Roman" w:cs="Symbol"/>
      <w:sz w:val="20"/>
    </w:rPr>
  </w:style>
  <w:style w:type="character" w:styleId="ListLabel101">
    <w:name w:val="ListLabel 101"/>
    <w:qFormat/>
    <w:rPr>
      <w:rFonts w:ascii="Times New Roman" w:hAnsi="Times New Roman" w:cs="Symbol"/>
      <w:sz w:val="20"/>
    </w:rPr>
  </w:style>
  <w:style w:type="character" w:styleId="ListLabel102">
    <w:name w:val="ListLabel 102"/>
    <w:qFormat/>
    <w:rPr>
      <w:rFonts w:ascii="Times New Roman" w:hAnsi="Times New Roman" w:cs="Symbol"/>
      <w:sz w:val="20"/>
    </w:rPr>
  </w:style>
  <w:style w:type="character" w:styleId="ListLabel103">
    <w:name w:val="ListLabel 103"/>
    <w:qFormat/>
    <w:rPr>
      <w:rFonts w:ascii="Times New Roman" w:hAnsi="Times New Roman" w:cs="Symbol"/>
      <w:color w:val="000000"/>
      <w:sz w:val="20"/>
      <w:szCs w:val="28"/>
    </w:rPr>
  </w:style>
  <w:style w:type="character" w:styleId="ListLabel104">
    <w:name w:val="ListLabel 104"/>
    <w:qFormat/>
    <w:rPr>
      <w:rFonts w:ascii="Times New Roman" w:hAnsi="Times New Roman" w:cs="Symbol"/>
    </w:rPr>
  </w:style>
  <w:style w:type="character" w:styleId="ListLabel105">
    <w:name w:val="ListLabel 105"/>
    <w:qFormat/>
    <w:rPr>
      <w:rFonts w:ascii="Times New Roman" w:hAnsi="Times New Roman" w:cs="Symbol"/>
    </w:rPr>
  </w:style>
  <w:style w:type="character" w:styleId="ListLabel106">
    <w:name w:val="ListLabel 106"/>
    <w:qFormat/>
    <w:rPr>
      <w:rFonts w:ascii="Times New Roman" w:hAnsi="Times New Roman" w:cs="Symbol"/>
    </w:rPr>
  </w:style>
  <w:style w:type="character" w:styleId="ListLabel107">
    <w:name w:val="ListLabel 107"/>
    <w:qFormat/>
    <w:rPr>
      <w:rFonts w:ascii="Times New Roman" w:hAnsi="Times New Roman" w:cs="Symbol"/>
    </w:rPr>
  </w:style>
  <w:style w:type="character" w:styleId="ListLabel108">
    <w:name w:val="ListLabel 108"/>
    <w:qFormat/>
    <w:rPr>
      <w:rFonts w:cs="Symbol"/>
    </w:rPr>
  </w:style>
  <w:style w:type="character" w:styleId="ListLabel109">
    <w:name w:val="ListLabel 109"/>
    <w:qFormat/>
    <w:rPr>
      <w:rFonts w:ascii="Times New Roman" w:hAnsi="Times New Roman" w:cs="Symbol"/>
      <w:color w:val="000000"/>
      <w:sz w:val="20"/>
      <w:szCs w:val="28"/>
      <w:lang w:val="en-US"/>
    </w:rPr>
  </w:style>
  <w:style w:type="character" w:styleId="ListLabel110">
    <w:name w:val="ListLabel 110"/>
    <w:qFormat/>
    <w:rPr>
      <w:rFonts w:ascii="Times New Roman" w:hAnsi="Times New Roman" w:cs="Symbol"/>
      <w:sz w:val="20"/>
    </w:rPr>
  </w:style>
  <w:style w:type="character" w:styleId="ListLabel111">
    <w:name w:val="ListLabel 111"/>
    <w:qFormat/>
    <w:rPr>
      <w:rFonts w:ascii="Times New Roman" w:hAnsi="Times New Roman" w:cs="Symbol"/>
      <w:sz w:val="20"/>
    </w:rPr>
  </w:style>
  <w:style w:type="character" w:styleId="ListLabel112">
    <w:name w:val="ListLabel 112"/>
    <w:qFormat/>
    <w:rPr>
      <w:rFonts w:ascii="Times New Roman" w:hAnsi="Times New Roman" w:cs="Symbol"/>
      <w:sz w:val="20"/>
    </w:rPr>
  </w:style>
  <w:style w:type="character" w:styleId="ListLabel113">
    <w:name w:val="ListLabel 113"/>
    <w:qFormat/>
    <w:rPr>
      <w:rFonts w:ascii="Times New Roman" w:hAnsi="Times New Roman" w:cs="Symbol"/>
      <w:sz w:val="20"/>
    </w:rPr>
  </w:style>
  <w:style w:type="character" w:styleId="ListLabel114">
    <w:name w:val="ListLabel 114"/>
    <w:qFormat/>
    <w:rPr>
      <w:rFonts w:ascii="Times New Roman" w:hAnsi="Times New Roman" w:cs="Symbol"/>
      <w:sz w:val="20"/>
    </w:rPr>
  </w:style>
  <w:style w:type="character" w:styleId="ListLabel115">
    <w:name w:val="ListLabel 115"/>
    <w:qFormat/>
    <w:rPr>
      <w:rFonts w:ascii="Times New Roman" w:hAnsi="Times New Roman" w:cs="Symbol"/>
      <w:color w:val="000000"/>
      <w:sz w:val="20"/>
      <w:szCs w:val="28"/>
    </w:rPr>
  </w:style>
  <w:style w:type="character" w:styleId="ListLabel116">
    <w:name w:val="ListLabel 116"/>
    <w:qFormat/>
    <w:rPr>
      <w:rFonts w:cs="Symbol"/>
      <w:sz w:val="20"/>
    </w:rPr>
  </w:style>
  <w:style w:type="character" w:styleId="ListLabel117">
    <w:name w:val="ListLabel 117"/>
    <w:qFormat/>
    <w:rPr>
      <w:rFonts w:cs="Symbol"/>
      <w:sz w:val="20"/>
    </w:rPr>
  </w:style>
  <w:style w:type="character" w:styleId="ListLabel118">
    <w:name w:val="ListLabel 118"/>
    <w:qFormat/>
    <w:rPr>
      <w:rFonts w:cs="Symbol"/>
      <w:sz w:val="20"/>
    </w:rPr>
  </w:style>
  <w:style w:type="paragraph" w:styleId="Style18">
    <w:name w:val="Заголовок"/>
    <w:basedOn w:val="Normal"/>
    <w:next w:val="Style19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Style23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1">
    <w:name w:val="Заголовок 11"/>
    <w:basedOn w:val="Normal"/>
    <w:qFormat/>
    <w:pPr>
      <w:keepNext/>
      <w:ind w:left="0" w:right="0" w:firstLine="5400"/>
      <w:jc w:val="right"/>
      <w:outlineLvl w:val="0"/>
    </w:pPr>
    <w:rPr>
      <w:rFonts w:ascii="Times New Roman" w:hAnsi="Times New Roman" w:eastAsia="Times New Roman" w:cs="Times New Roman"/>
      <w:sz w:val="28"/>
      <w:lang w:eastAsia="zh-CN"/>
    </w:rPr>
  </w:style>
  <w:style w:type="paragraph" w:styleId="12">
    <w:name w:val="Заголовок1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13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Standard">
    <w:name w:val="Standard"/>
    <w:qFormat/>
    <w:pPr>
      <w:widowControl w:val="false"/>
      <w:suppressAutoHyphens w:val="true"/>
      <w:overflowPunct w:val="false"/>
      <w:bidi w:val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paragraph" w:styleId="Style24">
    <w:name w:val="Содержимое таблицы"/>
    <w:basedOn w:val="Standard"/>
    <w:qFormat/>
    <w:pPr>
      <w:suppressLineNumbers/>
    </w:pPr>
    <w:rPr/>
  </w:style>
  <w:style w:type="paragraph" w:styleId="BalloonText">
    <w:name w:val="Balloon Text"/>
    <w:basedOn w:val="Normal"/>
    <w:qFormat/>
    <w:pPr/>
    <w:rPr>
      <w:rFonts w:ascii="Tahoma" w:hAnsi="Tahoma"/>
      <w:sz w:val="16"/>
      <w:szCs w:val="16"/>
    </w:rPr>
  </w:style>
  <w:style w:type="paragraph" w:styleId="NoSpacing">
    <w:name w:val="No Spacing"/>
    <w:qFormat/>
    <w:pPr>
      <w:widowControl/>
      <w:overflowPunct w:val="false"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paragraph" w:styleId="ConsPlusNormal">
    <w:name w:val="ConsPlusNormal"/>
    <w:qFormat/>
    <w:pPr>
      <w:widowControl w:val="false"/>
      <w:overflowPunct w:val="false"/>
      <w:bidi w:val="0"/>
      <w:jc w:val="left"/>
    </w:pPr>
    <w:rPr>
      <w:rFonts w:ascii="Arial" w:hAnsi="Arial" w:eastAsia="Times New Roman" w:cs="Arial"/>
      <w:color w:val="00000A"/>
      <w:sz w:val="24"/>
      <w:szCs w:val="20"/>
      <w:lang w:val="ru-RU" w:eastAsia="en-US" w:bidi="ar-SA"/>
    </w:rPr>
  </w:style>
  <w:style w:type="paragraph" w:styleId="14">
    <w:name w:val="Основной текст1"/>
    <w:basedOn w:val="Normal"/>
    <w:qFormat/>
    <w:pPr>
      <w:shd w:val="clear" w:fill="FFFFFF"/>
      <w:spacing w:before="0" w:after="360"/>
      <w:ind w:left="0" w:right="0" w:hanging="2140"/>
    </w:pPr>
    <w:rPr>
      <w:rFonts w:ascii="Times New Roman" w:hAnsi="Times New Roman" w:eastAsia="Times New Roman" w:cs="Times New Roman"/>
      <w:sz w:val="27"/>
      <w:szCs w:val="27"/>
    </w:rPr>
  </w:style>
  <w:style w:type="paragraph" w:styleId="ConsPlusCell">
    <w:name w:val="ConsPlusCell"/>
    <w:qFormat/>
    <w:pPr>
      <w:widowControl/>
      <w:suppressAutoHyphens w:val="true"/>
      <w:overflowPunct w:val="false"/>
      <w:bidi w:val="0"/>
      <w:jc w:val="left"/>
    </w:pPr>
    <w:rPr>
      <w:rFonts w:ascii="Arial" w:hAnsi="Arial" w:eastAsia="Times New Roman" w:cs="Arial"/>
      <w:color w:val="00000A"/>
      <w:sz w:val="24"/>
      <w:szCs w:val="20"/>
      <w:lang w:val="ru-RU" w:eastAsia="zh-CN" w:bidi="ar-SA"/>
    </w:rPr>
  </w:style>
  <w:style w:type="paragraph" w:styleId="BlockQuotation">
    <w:name w:val="Block Quotation"/>
    <w:basedOn w:val="Normal"/>
    <w:qFormat/>
    <w:pPr>
      <w:ind w:left="567" w:right="-2" w:firstLine="851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Style25">
    <w:name w:val="Прижатый влево"/>
    <w:basedOn w:val="Normal"/>
    <w:qFormat/>
    <w:pPr/>
    <w:rPr>
      <w:rFonts w:ascii="Arial" w:hAnsi="Arial" w:eastAsia="Times New Roman" w:cs="Arial"/>
    </w:rPr>
  </w:style>
  <w:style w:type="paragraph" w:styleId="WW">
    <w:name w:val="WW-Базовый"/>
    <w:qFormat/>
    <w:pPr>
      <w:widowControl w:val="false"/>
      <w:suppressAutoHyphens w:val="true"/>
      <w:overflowPunct w:val="false"/>
      <w:bidi w:val="0"/>
      <w:spacing w:lineRule="auto" w:line="276" w:before="0" w:after="200"/>
      <w:ind w:left="0" w:right="0" w:firstLine="255"/>
      <w:jc w:val="both"/>
    </w:pPr>
    <w:rPr>
      <w:rFonts w:ascii="Times New Roman" w:hAnsi="Times New Roman" w:eastAsia="SimSun;宋体" w:cs="Mangal"/>
      <w:color w:val="00000A"/>
      <w:sz w:val="24"/>
      <w:szCs w:val="24"/>
      <w:lang w:val="ru-RU" w:eastAsia="zh-CN" w:bidi="hi-IN"/>
    </w:rPr>
  </w:style>
  <w:style w:type="paragraph" w:styleId="Style26">
    <w:name w:val="Нормальный (таблица)"/>
    <w:basedOn w:val="Normal"/>
    <w:qFormat/>
    <w:pPr>
      <w:jc w:val="both"/>
    </w:pPr>
    <w:rPr>
      <w:rFonts w:ascii="Arial" w:hAnsi="Arial" w:eastAsia="Times New Roman" w:cs="Arial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Style27">
    <w:name w:val="Заголовок таблицы"/>
    <w:basedOn w:val="Style24"/>
    <w:qFormat/>
    <w:pPr/>
    <w:rPr/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ref=DB43C6697D02ED913C9F9B43B2337285E6B4D19727569DC3DADB45054CcFB5J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Application>LibreOffice/5.3.0.3$Windows_X86_64 LibreOffice_project/7074905676c47b82bbcfbea1aeefc84afe1c50e1</Application>
  <Pages>20</Pages>
  <Words>3283</Words>
  <Characters>26096</Characters>
  <CharactersWithSpaces>29116</CharactersWithSpaces>
  <Paragraphs>536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2021-11-18T07:25:00Z</dcterms:created>
  <dc:creator>Zal</dc:creator>
  <dc:description/>
  <dc:language>ru-RU</dc:language>
  <cp:lastModifiedBy/>
  <cp:lastPrinted>2022-01-12T11:38:54Z</cp:lastPrinted>
  <dcterms:modified xsi:type="dcterms:W3CDTF">2022-01-12T11:55:34Z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