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right" w:pos="900" w:leader="none"/>
        </w:tabs>
        <w:jc w:val="center"/>
        <w:rPr/>
      </w:pPr>
      <w:r>
        <w:rPr/>
        <w:drawing>
          <wp:inline distT="0" distB="0" distL="0" distR="0">
            <wp:extent cx="795020" cy="101917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26" t="-98" r="-126" b="-98"/>
                    <a:stretch>
                      <a:fillRect/>
                    </a:stretch>
                  </pic:blipFill>
                  <pic:spPr bwMode="auto">
                    <a:xfrm>
                      <a:off x="0" y="0"/>
                      <a:ext cx="795020" cy="1019175"/>
                    </a:xfrm>
                    <a:prstGeom prst="rect">
                      <a:avLst/>
                    </a:prstGeom>
                  </pic:spPr>
                </pic:pic>
              </a:graphicData>
            </a:graphic>
          </wp:inline>
        </w:drawing>
      </w:r>
    </w:p>
    <w:p>
      <w:pPr>
        <w:pStyle w:val="Normal"/>
        <w:ind w:firstLine="709"/>
        <w:jc w:val="center"/>
        <w:rPr>
          <w:szCs w:val="22"/>
        </w:rPr>
      </w:pPr>
      <w:r>
        <w:rPr>
          <w:b/>
          <w:sz w:val="28"/>
          <w:szCs w:val="28"/>
        </w:rPr>
        <w:t xml:space="preserve">АДМИНИСТРАЦИЯ МУНИЦИПАЛЬНОГО ОБРАЗОВАНИЯ </w:t>
      </w:r>
    </w:p>
    <w:p>
      <w:pPr>
        <w:pStyle w:val="Normal"/>
        <w:ind w:firstLine="709"/>
        <w:jc w:val="center"/>
        <w:rPr>
          <w:szCs w:val="22"/>
        </w:rPr>
      </w:pPr>
      <w:r>
        <w:rPr>
          <w:b/>
          <w:sz w:val="28"/>
          <w:szCs w:val="28"/>
        </w:rPr>
        <w:t>ЗАЛЕСОВСКИЙ СЕЛЬСОВЕТ</w:t>
      </w:r>
    </w:p>
    <w:p>
      <w:pPr>
        <w:pStyle w:val="Normal"/>
        <w:ind w:firstLine="709"/>
        <w:jc w:val="center"/>
        <w:rPr>
          <w:szCs w:val="22"/>
        </w:rPr>
      </w:pPr>
      <w:r>
        <w:rPr>
          <w:b/>
          <w:caps/>
          <w:sz w:val="28"/>
          <w:szCs w:val="28"/>
        </w:rPr>
        <w:t>КрасногвардейскОГО районА оренбургской</w:t>
      </w:r>
      <w:r>
        <w:rPr>
          <w:b/>
          <w:sz w:val="28"/>
          <w:szCs w:val="28"/>
        </w:rPr>
        <w:t xml:space="preserve"> ОБЛАСТИ</w:t>
      </w:r>
    </w:p>
    <w:p>
      <w:pPr>
        <w:pStyle w:val="Normal"/>
        <w:ind w:firstLine="709"/>
        <w:jc w:val="center"/>
        <w:rPr>
          <w:rFonts w:eastAsia="Calibri"/>
          <w:sz w:val="28"/>
          <w:szCs w:val="28"/>
        </w:rPr>
      </w:pPr>
      <w:r>
        <w:rPr>
          <w:rFonts w:eastAsia="Calibri"/>
          <w:sz w:val="28"/>
          <w:szCs w:val="28"/>
        </w:rPr>
      </w:r>
    </w:p>
    <w:p>
      <w:pPr>
        <w:pStyle w:val="Normal"/>
        <w:tabs>
          <w:tab w:val="right" w:pos="0" w:leader="none"/>
        </w:tabs>
        <w:ind w:firstLine="709"/>
        <w:jc w:val="center"/>
        <w:rPr>
          <w:szCs w:val="22"/>
        </w:rPr>
      </w:pPr>
      <w:r>
        <w:rPr>
          <w:b/>
          <w:sz w:val="28"/>
          <w:szCs w:val="28"/>
        </w:rPr>
        <w:t>П О С Т А Н О В Л Е Н И Е</w:t>
      </w:r>
    </w:p>
    <w:p>
      <w:pPr>
        <w:pStyle w:val="Normal"/>
        <w:jc w:val="both"/>
        <w:rPr>
          <w:sz w:val="28"/>
          <w:szCs w:val="28"/>
        </w:rPr>
      </w:pPr>
      <w:r>
        <w:rPr>
          <w:sz w:val="28"/>
          <w:szCs w:val="28"/>
        </w:rPr>
      </w:r>
    </w:p>
    <w:p>
      <w:pPr>
        <w:pStyle w:val="Normal"/>
        <w:jc w:val="both"/>
        <w:rPr>
          <w:sz w:val="28"/>
          <w:szCs w:val="28"/>
        </w:rPr>
      </w:pPr>
      <w:r>
        <w:rPr>
          <w:sz w:val="28"/>
          <w:szCs w:val="28"/>
        </w:rPr>
        <w:t>08.07.2019                                                                                                       № 38-п</w:t>
      </w:r>
    </w:p>
    <w:p>
      <w:pPr>
        <w:pStyle w:val="Normal"/>
        <w:jc w:val="center"/>
        <w:rPr>
          <w:szCs w:val="22"/>
        </w:rPr>
      </w:pPr>
      <w:r>
        <w:rPr>
          <w:sz w:val="28"/>
          <w:szCs w:val="28"/>
        </w:rPr>
        <w:t xml:space="preserve">      </w:t>
      </w:r>
      <w:r>
        <w:rPr>
          <w:sz w:val="28"/>
          <w:szCs w:val="28"/>
        </w:rPr>
        <w:t>с.Залесово</w:t>
      </w:r>
    </w:p>
    <w:p>
      <w:pPr>
        <w:pStyle w:val="Normal"/>
        <w:ind w:firstLine="709"/>
        <w:jc w:val="center"/>
        <w:rPr>
          <w:szCs w:val="22"/>
        </w:rPr>
      </w:pPr>
      <w:r>
        <w:rPr>
          <w:sz w:val="28"/>
          <w:szCs w:val="28"/>
        </w:rPr>
        <w:t xml:space="preserve">                                                                        </w:t>
      </w:r>
    </w:p>
    <w:p>
      <w:pPr>
        <w:pStyle w:val="Normal"/>
        <w:ind w:firstLine="709"/>
        <w:jc w:val="center"/>
        <w:rPr>
          <w:szCs w:val="22"/>
        </w:rPr>
      </w:pPr>
      <w:r>
        <w:rPr>
          <w:sz w:val="28"/>
          <w:szCs w:val="28"/>
        </w:rPr>
        <w:t xml:space="preserve">О внесении изменений в постановление администрации сельсовета </w:t>
      </w:r>
      <w:bookmarkStart w:id="0" w:name="__DdeLink__11504_3943947467"/>
      <w:bookmarkEnd w:id="0"/>
      <w:r>
        <w:rPr>
          <w:sz w:val="28"/>
          <w:szCs w:val="28"/>
        </w:rPr>
        <w:t>от 27.04.2017 № 21-п "Об утверждении программы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на 2017-2021 годы и с перспективой до 2033 года"</w:t>
      </w:r>
    </w:p>
    <w:p>
      <w:pPr>
        <w:pStyle w:val="Normal"/>
        <w:ind w:firstLine="709"/>
        <w:jc w:val="both"/>
        <w:rPr>
          <w:rFonts w:eastAsia="Calibri"/>
          <w:sz w:val="28"/>
          <w:szCs w:val="28"/>
        </w:rPr>
      </w:pPr>
      <w:r>
        <w:rPr>
          <w:rFonts w:eastAsia="Calibri"/>
          <w:sz w:val="28"/>
          <w:szCs w:val="28"/>
        </w:rPr>
      </w:r>
    </w:p>
    <w:p>
      <w:pPr>
        <w:pStyle w:val="Normal"/>
        <w:ind w:firstLine="709"/>
        <w:jc w:val="both"/>
        <w:rPr>
          <w:szCs w:val="22"/>
        </w:rPr>
      </w:pPr>
      <w:r>
        <w:rPr>
          <w:sz w:val="26"/>
          <w:szCs w:val="26"/>
        </w:rPr>
        <w:t>В соответствии с пунктом 5 части 1 статьи 14 Федерального закона от 06.10.2003г №131 – ФЗ «Об общих принципах организации местного самоуправления в Российской Федерации», руководствуясь Уставом муниципального образования Залесовский сельсовет Красногвардейского района Оренбургской области, в целях разработки комплекса мероприятий, направленных на повышение надежности, эффективности и экологичности работы объектов транспортной инфраструктуры, расположенных на территории муниципального образования Залесовский сельсовет Красногвардейского района Оренбургской области:</w:t>
      </w:r>
    </w:p>
    <w:p>
      <w:pPr>
        <w:pStyle w:val="Normal"/>
        <w:ind w:firstLine="709"/>
        <w:jc w:val="both"/>
        <w:rPr>
          <w:sz w:val="26"/>
          <w:szCs w:val="26"/>
        </w:rPr>
      </w:pPr>
      <w:r>
        <w:rPr>
          <w:sz w:val="26"/>
          <w:szCs w:val="26"/>
        </w:rPr>
        <w:t>1. Внести изменения в  постановление администрации сельсовета от 27.04.2017 № 21-п "Об утверждении программы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на 2017-2021 годы и с перспективой до 2033 года", дополнив в настоящую программу подпрограмму «Содержание и ремонт автомобильных дорог общего пользования местного значения в муниципальном образовании  Залесовский сельсовет на 2018-2022 годы»  согласно приложению.</w:t>
      </w:r>
    </w:p>
    <w:p>
      <w:pPr>
        <w:pStyle w:val="Normal"/>
        <w:ind w:firstLine="709"/>
        <w:jc w:val="both"/>
        <w:rPr>
          <w:sz w:val="26"/>
          <w:szCs w:val="26"/>
        </w:rPr>
      </w:pPr>
      <w:r>
        <w:rPr>
          <w:sz w:val="26"/>
          <w:szCs w:val="26"/>
        </w:rPr>
        <w:t>2.Установить,  что настоящее постановление вступает в силу после обнародования и подлежит размещению в сети «Интернет».</w:t>
      </w:r>
    </w:p>
    <w:p>
      <w:pPr>
        <w:pStyle w:val="Normal"/>
        <w:ind w:firstLine="709"/>
        <w:jc w:val="both"/>
        <w:rPr>
          <w:sz w:val="26"/>
          <w:szCs w:val="26"/>
        </w:rPr>
      </w:pPr>
      <w:r>
        <w:rPr>
          <w:sz w:val="26"/>
          <w:szCs w:val="26"/>
        </w:rPr>
        <w:t>3.Контроль за исполнением настоящего постановления оставляю за собой.</w:t>
      </w:r>
    </w:p>
    <w:p>
      <w:pPr>
        <w:pStyle w:val="Normal"/>
        <w:ind w:firstLine="709"/>
        <w:jc w:val="both"/>
        <w:rPr>
          <w:sz w:val="26"/>
          <w:szCs w:val="26"/>
        </w:rPr>
      </w:pPr>
      <w:r>
        <w:rPr>
          <w:sz w:val="26"/>
          <w:szCs w:val="26"/>
        </w:rPr>
      </w:r>
    </w:p>
    <w:p>
      <w:pPr>
        <w:pStyle w:val="Normal"/>
        <w:ind w:firstLine="709"/>
        <w:jc w:val="both"/>
        <w:rPr>
          <w:sz w:val="28"/>
          <w:szCs w:val="28"/>
        </w:rPr>
      </w:pPr>
      <w:r>
        <w:rPr>
          <w:sz w:val="28"/>
          <w:szCs w:val="28"/>
        </w:rPr>
      </w:r>
    </w:p>
    <w:p>
      <w:pPr>
        <w:pStyle w:val="Normal"/>
        <w:jc w:val="both"/>
        <w:rPr>
          <w:sz w:val="26"/>
          <w:szCs w:val="26"/>
        </w:rPr>
      </w:pPr>
      <w:r>
        <w:rPr>
          <w:sz w:val="26"/>
          <w:szCs w:val="26"/>
        </w:rPr>
        <w:t>Глава сельсовета                                                                                         Н.Ф.Пастухова</w:t>
      </w:r>
    </w:p>
    <w:p>
      <w:pPr>
        <w:pStyle w:val="Normal"/>
        <w:ind w:firstLine="709"/>
        <w:jc w:val="both"/>
        <w:rPr>
          <w:rFonts w:eastAsia="Calibri"/>
          <w:sz w:val="28"/>
          <w:szCs w:val="28"/>
        </w:rPr>
      </w:pPr>
      <w:r>
        <w:rPr>
          <w:rFonts w:eastAsia="Calibri"/>
          <w:sz w:val="28"/>
          <w:szCs w:val="28"/>
        </w:rPr>
      </w:r>
    </w:p>
    <w:p>
      <w:pPr>
        <w:pStyle w:val="Normal"/>
        <w:ind w:firstLine="709"/>
        <w:jc w:val="both"/>
        <w:rPr>
          <w:rFonts w:eastAsia="Calibri"/>
          <w:szCs w:val="22"/>
        </w:rPr>
      </w:pPr>
      <w:r>
        <w:rPr>
          <w:rFonts w:eastAsia="Calibri"/>
          <w:szCs w:val="22"/>
        </w:rPr>
      </w:r>
    </w:p>
    <w:p>
      <w:pPr>
        <w:pStyle w:val="Normal"/>
        <w:jc w:val="both"/>
        <w:rPr/>
      </w:pPr>
      <w:r>
        <w:rPr>
          <w:sz w:val="22"/>
          <w:szCs w:val="22"/>
        </w:rPr>
        <w:t>Разослано: в дело, финотдел адм. района, отдел архитектуры и градостроительства адм. района, прокурору района</w:t>
      </w:r>
    </w:p>
    <w:p>
      <w:pPr>
        <w:pStyle w:val="Standard"/>
        <w:jc w:val="right"/>
        <w:rPr/>
      </w:pPr>
      <w:r>
        <w:rPr>
          <w:rFonts w:eastAsia="Times New Roman" w:cs="Times New Roman" w:ascii="Times New Roman" w:hAnsi="Times New Roman"/>
          <w:color w:val="00000A"/>
          <w:sz w:val="24"/>
          <w:szCs w:val="24"/>
          <w:shd w:fill="FFFFFF" w:val="clear"/>
        </w:rPr>
        <w:t>Приложение</w:t>
      </w:r>
    </w:p>
    <w:p>
      <w:pPr>
        <w:pStyle w:val="Standard"/>
        <w:ind w:left="4389" w:firstLine="57"/>
        <w:jc w:val="right"/>
        <w:rPr/>
      </w:pPr>
      <w:r>
        <w:rPr>
          <w:rFonts w:eastAsia="Times New Roman" w:cs="Times New Roman" w:ascii="Times New Roman" w:hAnsi="Times New Roman"/>
          <w:color w:val="00000A"/>
          <w:sz w:val="24"/>
          <w:szCs w:val="24"/>
          <w:shd w:fill="FFFFFF" w:val="clear"/>
        </w:rPr>
        <w:t> </w:t>
      </w:r>
      <w:r>
        <w:rPr>
          <w:rFonts w:eastAsia="Times New Roman" w:cs="Times New Roman" w:ascii="Times New Roman" w:hAnsi="Times New Roman"/>
          <w:color w:val="00000A"/>
          <w:sz w:val="24"/>
          <w:szCs w:val="24"/>
          <w:shd w:fill="FFFFFF" w:val="clear"/>
        </w:rPr>
        <w:t>к постановлению администрации муниципального образования</w:t>
      </w:r>
    </w:p>
    <w:p>
      <w:pPr>
        <w:pStyle w:val="Standard"/>
        <w:ind w:left="4389" w:firstLine="57"/>
        <w:jc w:val="right"/>
        <w:rPr/>
      </w:pPr>
      <w:r>
        <w:rPr>
          <w:rFonts w:eastAsia="Times New Roman" w:cs="Times New Roman" w:ascii="Times New Roman" w:hAnsi="Times New Roman"/>
          <w:color w:val="00000A"/>
          <w:sz w:val="24"/>
          <w:szCs w:val="24"/>
          <w:shd w:fill="FFFFFF" w:val="clear"/>
        </w:rPr>
        <w:t>Залесовский  сельсовет</w:t>
      </w:r>
    </w:p>
    <w:p>
      <w:pPr>
        <w:pStyle w:val="Standard"/>
        <w:ind w:left="4389" w:firstLine="57"/>
        <w:jc w:val="right"/>
        <w:rPr/>
      </w:pPr>
      <w:r>
        <w:rPr>
          <w:rFonts w:eastAsia="Times New Roman" w:cs="Times New Roman" w:ascii="Times New Roman" w:hAnsi="Times New Roman"/>
          <w:color w:val="00000A"/>
          <w:sz w:val="24"/>
          <w:szCs w:val="24"/>
          <w:shd w:fill="FFFFFF" w:val="clear"/>
        </w:rPr>
        <w:t>от 08.07.2019  № 3</w:t>
      </w:r>
      <w:r>
        <w:rPr>
          <w:rFonts w:eastAsia="Times New Roman" w:cs="Times New Roman" w:ascii="Times New Roman" w:hAnsi="Times New Roman"/>
          <w:color w:val="00000A"/>
          <w:sz w:val="24"/>
          <w:szCs w:val="24"/>
          <w:shd w:fill="FFFFFF" w:val="clear"/>
        </w:rPr>
        <w:t>8</w:t>
      </w:r>
      <w:r>
        <w:rPr>
          <w:rFonts w:eastAsia="Times New Roman" w:cs="Times New Roman" w:ascii="Times New Roman" w:hAnsi="Times New Roman"/>
          <w:color w:val="00000A"/>
          <w:sz w:val="24"/>
          <w:szCs w:val="24"/>
          <w:shd w:fill="FFFFFF" w:val="clear"/>
        </w:rPr>
        <w:t>-п</w:t>
      </w:r>
    </w:p>
    <w:p>
      <w:pPr>
        <w:pStyle w:val="Standard"/>
        <w:ind w:left="4389" w:firstLine="57"/>
        <w:jc w:val="right"/>
        <w:rPr>
          <w:rFonts w:ascii="Times New Roman" w:hAnsi="Times New Roman" w:eastAsia="Times New Roman" w:cs="Times New Roman"/>
          <w:color w:val="00000A"/>
          <w:sz w:val="24"/>
          <w:szCs w:val="24"/>
          <w:highlight w:val="white"/>
        </w:rPr>
      </w:pPr>
      <w:r>
        <w:rPr/>
      </w:r>
    </w:p>
    <w:p>
      <w:pPr>
        <w:pStyle w:val="Normal"/>
        <w:bidi w:val="0"/>
        <w:ind w:left="0" w:right="0" w:hanging="0"/>
        <w:jc w:val="center"/>
        <w:rPr>
          <w:sz w:val="28"/>
          <w:szCs w:val="28"/>
        </w:rPr>
      </w:pPr>
      <w:r>
        <w:rPr>
          <w:b/>
          <w:sz w:val="28"/>
          <w:szCs w:val="28"/>
        </w:rPr>
        <w:t>ПАСПОРТ</w:t>
      </w:r>
    </w:p>
    <w:p>
      <w:pPr>
        <w:pStyle w:val="Normal"/>
        <w:bidi w:val="0"/>
        <w:ind w:left="0" w:right="0" w:hanging="0"/>
        <w:jc w:val="center"/>
        <w:rPr>
          <w:szCs w:val="22"/>
        </w:rPr>
      </w:pPr>
      <w:r>
        <w:rPr>
          <w:b w:val="false"/>
          <w:bCs w:val="false"/>
          <w:sz w:val="28"/>
          <w:szCs w:val="28"/>
        </w:rPr>
        <w:t>подпрограммы</w:t>
      </w:r>
      <w:r>
        <w:rPr>
          <w:b/>
          <w:sz w:val="28"/>
          <w:szCs w:val="28"/>
        </w:rPr>
        <w:t xml:space="preserve"> </w:t>
      </w:r>
      <w:r>
        <w:rPr>
          <w:sz w:val="28"/>
          <w:szCs w:val="28"/>
        </w:rPr>
        <w:t>«Содержание и ремонт автомобильных дорог общего пользования местного значения в муниципальном образовании  Залесовский  сельсовет на 2018-2022 годы»</w:t>
      </w:r>
    </w:p>
    <w:p>
      <w:pPr>
        <w:pStyle w:val="Normal"/>
        <w:ind w:firstLine="709"/>
        <w:jc w:val="both"/>
        <w:rPr>
          <w:rFonts w:eastAsia="Calibri"/>
          <w:szCs w:val="22"/>
        </w:rPr>
      </w:pPr>
      <w:r>
        <w:rPr>
          <w:rFonts w:eastAsia="Calibri"/>
          <w:szCs w:val="22"/>
        </w:rPr>
      </w:r>
    </w:p>
    <w:tbl>
      <w:tblPr>
        <w:tblW w:w="9295" w:type="dxa"/>
        <w:jc w:val="left"/>
        <w:tblInd w:w="-2" w:type="dxa"/>
        <w:tblBorders>
          <w:top w:val="single" w:sz="2" w:space="0" w:color="00000A"/>
          <w:left w:val="single" w:sz="2" w:space="0" w:color="00000A"/>
          <w:bottom w:val="single" w:sz="2" w:space="0" w:color="00000A"/>
          <w:insideH w:val="single" w:sz="2" w:space="0" w:color="00000A"/>
        </w:tblBorders>
        <w:tblCellMar>
          <w:top w:w="0" w:type="dxa"/>
          <w:left w:w="-2" w:type="dxa"/>
          <w:bottom w:w="0" w:type="dxa"/>
          <w:right w:w="10" w:type="dxa"/>
        </w:tblCellMar>
        <w:tblLook w:val="0000"/>
      </w:tblPr>
      <w:tblGrid>
        <w:gridCol w:w="4199"/>
        <w:gridCol w:w="5095"/>
      </w:tblGrid>
      <w:tr>
        <w:trPr/>
        <w:tc>
          <w:tcPr>
            <w:tcW w:w="4199"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szCs w:val="22"/>
              </w:rPr>
            </w:pPr>
            <w:r>
              <w:rPr>
                <w:sz w:val="24"/>
                <w:szCs w:val="24"/>
              </w:rPr>
              <w:t>Ответственный исполнитель подпрограммы</w:t>
            </w:r>
          </w:p>
        </w:tc>
        <w:tc>
          <w:tcPr>
            <w:tcW w:w="50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ind w:hanging="0"/>
              <w:jc w:val="both"/>
              <w:rPr>
                <w:sz w:val="24"/>
                <w:szCs w:val="24"/>
              </w:rPr>
            </w:pPr>
            <w:r>
              <w:rPr>
                <w:sz w:val="24"/>
                <w:szCs w:val="24"/>
              </w:rPr>
              <w:t>Администрация муниципального образования  Залесовский сельсовет Красногвардейского района Оренбургской области</w:t>
            </w:r>
          </w:p>
        </w:tc>
      </w:tr>
      <w:tr>
        <w:trPr/>
        <w:tc>
          <w:tcPr>
            <w:tcW w:w="4199"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szCs w:val="22"/>
              </w:rPr>
            </w:pPr>
            <w:r>
              <w:rPr>
                <w:sz w:val="24"/>
                <w:szCs w:val="24"/>
              </w:rPr>
              <w:t>Участники подпрограммы</w:t>
            </w:r>
          </w:p>
        </w:tc>
        <w:tc>
          <w:tcPr>
            <w:tcW w:w="50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ind w:firstLine="709"/>
              <w:jc w:val="both"/>
              <w:rPr>
                <w:szCs w:val="22"/>
              </w:rPr>
            </w:pPr>
            <w:r>
              <w:rPr>
                <w:sz w:val="24"/>
                <w:szCs w:val="24"/>
              </w:rPr>
              <w:t>Отсутствуют</w:t>
            </w:r>
          </w:p>
        </w:tc>
      </w:tr>
      <w:tr>
        <w:trPr/>
        <w:tc>
          <w:tcPr>
            <w:tcW w:w="4199"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szCs w:val="22"/>
              </w:rPr>
            </w:pPr>
            <w:r>
              <w:rPr>
                <w:sz w:val="24"/>
                <w:szCs w:val="24"/>
              </w:rPr>
              <w:t>Цель подпрограммы</w:t>
            </w:r>
          </w:p>
        </w:tc>
        <w:tc>
          <w:tcPr>
            <w:tcW w:w="50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ind w:hanging="0"/>
              <w:jc w:val="both"/>
              <w:rPr>
                <w:sz w:val="24"/>
                <w:szCs w:val="24"/>
              </w:rPr>
            </w:pPr>
            <w:r>
              <w:rPr>
                <w:sz w:val="24"/>
                <w:szCs w:val="24"/>
              </w:rPr>
              <w:t>- Повышение эффективности обеспечения безопасности дорожного движения в границах сельского поселения.</w:t>
            </w:r>
          </w:p>
        </w:tc>
      </w:tr>
      <w:tr>
        <w:trPr/>
        <w:tc>
          <w:tcPr>
            <w:tcW w:w="4199"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szCs w:val="22"/>
              </w:rPr>
            </w:pPr>
            <w:r>
              <w:rPr>
                <w:sz w:val="24"/>
                <w:szCs w:val="24"/>
              </w:rPr>
              <w:t>Задачи подпрограммы</w:t>
            </w:r>
          </w:p>
        </w:tc>
        <w:tc>
          <w:tcPr>
            <w:tcW w:w="50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ind w:hanging="0"/>
              <w:jc w:val="both"/>
              <w:rPr>
                <w:sz w:val="24"/>
                <w:szCs w:val="24"/>
              </w:rPr>
            </w:pPr>
            <w:r>
              <w:rPr>
                <w:sz w:val="24"/>
                <w:szCs w:val="24"/>
              </w:rPr>
              <w:t>- сокращение количества дорожно-транспортных происшествий и пострадавших в результате их совершения;</w:t>
            </w:r>
          </w:p>
          <w:p>
            <w:pPr>
              <w:pStyle w:val="Normal"/>
              <w:ind w:hanging="0"/>
              <w:jc w:val="both"/>
              <w:rPr>
                <w:sz w:val="24"/>
                <w:szCs w:val="24"/>
              </w:rPr>
            </w:pPr>
            <w:r>
              <w:rPr>
                <w:sz w:val="24"/>
                <w:szCs w:val="24"/>
              </w:rPr>
              <w:t>- совершенствование организации движения транспорта и пешеходов в населенных пунктах сельского поселения;</w:t>
            </w:r>
          </w:p>
        </w:tc>
      </w:tr>
      <w:tr>
        <w:trPr/>
        <w:tc>
          <w:tcPr>
            <w:tcW w:w="4199"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szCs w:val="22"/>
              </w:rPr>
            </w:pPr>
            <w:r>
              <w:rPr>
                <w:sz w:val="24"/>
                <w:szCs w:val="24"/>
              </w:rPr>
              <w:t>Целевые индикаторы и показатели подпрограммы</w:t>
            </w:r>
          </w:p>
        </w:tc>
        <w:tc>
          <w:tcPr>
            <w:tcW w:w="50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ind w:hanging="0"/>
              <w:jc w:val="both"/>
              <w:rPr>
                <w:sz w:val="24"/>
                <w:szCs w:val="24"/>
              </w:rPr>
            </w:pPr>
            <w:r>
              <w:rPr>
                <w:sz w:val="24"/>
                <w:szCs w:val="24"/>
              </w:rPr>
              <w:t>- Доля отремонтированных автомобильных дорог  от общей протяженности дорог сельского поселения;</w:t>
            </w:r>
          </w:p>
        </w:tc>
      </w:tr>
      <w:tr>
        <w:trPr/>
        <w:tc>
          <w:tcPr>
            <w:tcW w:w="4199"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szCs w:val="22"/>
              </w:rPr>
            </w:pPr>
            <w:r>
              <w:rPr>
                <w:sz w:val="24"/>
                <w:szCs w:val="24"/>
              </w:rPr>
              <w:t>Сроки и этапы реализации подпрограммы</w:t>
            </w:r>
          </w:p>
        </w:tc>
        <w:tc>
          <w:tcPr>
            <w:tcW w:w="50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ind w:hanging="0"/>
              <w:jc w:val="both"/>
              <w:rPr>
                <w:sz w:val="24"/>
                <w:szCs w:val="24"/>
              </w:rPr>
            </w:pPr>
            <w:r>
              <w:rPr>
                <w:sz w:val="24"/>
                <w:szCs w:val="24"/>
              </w:rPr>
              <w:t>2018 -2022 г.г.</w:t>
            </w:r>
          </w:p>
        </w:tc>
      </w:tr>
      <w:tr>
        <w:trPr/>
        <w:tc>
          <w:tcPr>
            <w:tcW w:w="4199"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szCs w:val="22"/>
              </w:rPr>
            </w:pPr>
            <w:r>
              <w:rPr>
                <w:sz w:val="24"/>
                <w:szCs w:val="24"/>
              </w:rPr>
              <w:t>Объемы бюджетных ассигнований подпрограммы</w:t>
            </w:r>
          </w:p>
        </w:tc>
        <w:tc>
          <w:tcPr>
            <w:tcW w:w="50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tabs>
                <w:tab w:val="center" w:pos="4153" w:leader="none"/>
                <w:tab w:val="right" w:pos="8306" w:leader="none"/>
              </w:tabs>
              <w:ind w:hanging="0"/>
              <w:jc w:val="both"/>
              <w:rPr>
                <w:sz w:val="24"/>
                <w:szCs w:val="24"/>
              </w:rPr>
            </w:pPr>
            <w:r>
              <w:rPr>
                <w:color w:val="111111"/>
                <w:sz w:val="24"/>
                <w:szCs w:val="24"/>
              </w:rPr>
              <w:t xml:space="preserve">Общий объем финансирования подпрограммы составляет </w:t>
            </w:r>
            <w:r>
              <w:rPr>
                <w:color w:val="111111"/>
                <w:sz w:val="24"/>
                <w:szCs w:val="24"/>
                <w:highlight w:val="yellow"/>
              </w:rPr>
              <w:t>2459,8</w:t>
            </w:r>
            <w:r>
              <w:rPr>
                <w:color w:val="111111"/>
                <w:sz w:val="24"/>
                <w:szCs w:val="24"/>
              </w:rPr>
              <w:t xml:space="preserve"> тыс. рублей, в том числе:</w:t>
            </w:r>
          </w:p>
          <w:p>
            <w:pPr>
              <w:pStyle w:val="Normal"/>
              <w:ind w:firstLine="709"/>
              <w:jc w:val="both"/>
              <w:rPr>
                <w:szCs w:val="22"/>
              </w:rPr>
            </w:pPr>
            <w:r>
              <w:rPr>
                <w:color w:val="111111"/>
                <w:sz w:val="24"/>
                <w:szCs w:val="24"/>
              </w:rPr>
              <w:t>2018 год – 320,4 тыс. рублей</w:t>
            </w:r>
          </w:p>
          <w:p>
            <w:pPr>
              <w:pStyle w:val="Normal"/>
              <w:ind w:firstLine="709"/>
              <w:jc w:val="both"/>
              <w:rPr>
                <w:szCs w:val="22"/>
              </w:rPr>
            </w:pPr>
            <w:r>
              <w:rPr>
                <w:color w:val="111111"/>
                <w:sz w:val="24"/>
                <w:szCs w:val="24"/>
              </w:rPr>
              <w:t xml:space="preserve">2019 год-  </w:t>
            </w:r>
            <w:r>
              <w:rPr>
                <w:color w:val="111111"/>
                <w:sz w:val="24"/>
                <w:szCs w:val="24"/>
                <w:highlight w:val="yellow"/>
              </w:rPr>
              <w:t>359,7</w:t>
            </w:r>
            <w:r>
              <w:rPr>
                <w:color w:val="111111"/>
                <w:sz w:val="24"/>
                <w:szCs w:val="24"/>
              </w:rPr>
              <w:t xml:space="preserve"> тыс. рублей</w:t>
            </w:r>
          </w:p>
          <w:p>
            <w:pPr>
              <w:pStyle w:val="Normal"/>
              <w:ind w:firstLine="709"/>
              <w:jc w:val="both"/>
              <w:rPr>
                <w:szCs w:val="22"/>
              </w:rPr>
            </w:pPr>
            <w:r>
              <w:rPr>
                <w:color w:val="111111"/>
                <w:sz w:val="24"/>
                <w:szCs w:val="24"/>
              </w:rPr>
              <w:t>2020 год – 461,5 тыс. рублей</w:t>
            </w:r>
          </w:p>
          <w:p>
            <w:pPr>
              <w:pStyle w:val="Normal"/>
              <w:ind w:firstLine="709"/>
              <w:jc w:val="both"/>
              <w:rPr>
                <w:szCs w:val="22"/>
              </w:rPr>
            </w:pPr>
            <w:r>
              <w:rPr>
                <w:color w:val="111111"/>
                <w:sz w:val="24"/>
                <w:szCs w:val="24"/>
              </w:rPr>
              <w:t>2021 год – 659,1 тыс. рублей</w:t>
            </w:r>
          </w:p>
          <w:p>
            <w:pPr>
              <w:pStyle w:val="Normal"/>
              <w:ind w:firstLine="709"/>
              <w:jc w:val="both"/>
              <w:rPr>
                <w:szCs w:val="22"/>
              </w:rPr>
            </w:pPr>
            <w:r>
              <w:rPr>
                <w:color w:val="111111"/>
                <w:sz w:val="24"/>
                <w:szCs w:val="24"/>
              </w:rPr>
              <w:t>2022 год – 659,1 тыс. рублей</w:t>
            </w:r>
          </w:p>
        </w:tc>
      </w:tr>
    </w:tbl>
    <w:p>
      <w:pPr>
        <w:pStyle w:val="Normal"/>
        <w:tabs>
          <w:tab w:val="left" w:pos="1800" w:leader="none"/>
        </w:tabs>
        <w:ind w:left="1800" w:hanging="0"/>
        <w:jc w:val="both"/>
        <w:rPr>
          <w:b/>
          <w:b/>
          <w:szCs w:val="22"/>
        </w:rPr>
      </w:pPr>
      <w:r>
        <w:rPr>
          <w:b/>
          <w:szCs w:val="22"/>
        </w:rPr>
      </w:r>
    </w:p>
    <w:p>
      <w:pPr>
        <w:pStyle w:val="Normal"/>
        <w:tabs>
          <w:tab w:val="left" w:pos="1800" w:leader="none"/>
        </w:tabs>
        <w:bidi w:val="0"/>
        <w:ind w:left="0" w:right="0" w:firstLine="709"/>
        <w:jc w:val="center"/>
        <w:rPr>
          <w:szCs w:val="22"/>
        </w:rPr>
      </w:pPr>
      <w:r>
        <w:rPr>
          <w:b/>
          <w:sz w:val="28"/>
          <w:szCs w:val="28"/>
        </w:rPr>
        <w:t>1. Общая характеристика</w:t>
      </w:r>
    </w:p>
    <w:p>
      <w:pPr>
        <w:pStyle w:val="Normal"/>
        <w:tabs>
          <w:tab w:val="left" w:pos="1800" w:leader="none"/>
        </w:tabs>
        <w:bidi w:val="0"/>
        <w:ind w:left="0" w:right="0" w:firstLine="709"/>
        <w:jc w:val="center"/>
        <w:rPr>
          <w:b/>
          <w:b/>
          <w:sz w:val="28"/>
          <w:szCs w:val="28"/>
        </w:rPr>
      </w:pPr>
      <w:r>
        <w:rPr>
          <w:b/>
          <w:sz w:val="28"/>
          <w:szCs w:val="28"/>
        </w:rPr>
      </w:r>
    </w:p>
    <w:p>
      <w:pPr>
        <w:pStyle w:val="Normal"/>
        <w:tabs>
          <w:tab w:val="left" w:pos="0" w:leader="none"/>
        </w:tabs>
        <w:bidi w:val="0"/>
        <w:ind w:left="0" w:right="0" w:firstLine="709"/>
        <w:jc w:val="both"/>
        <w:rPr>
          <w:szCs w:val="22"/>
        </w:rPr>
      </w:pPr>
      <w:r>
        <w:rPr>
          <w:sz w:val="28"/>
          <w:szCs w:val="28"/>
        </w:rPr>
        <w:t>Проблема аварийности, связанной с автомобильным транспортом (далее -аварийность), в последнее десятилетие приобрела особую остроту в связи с несоответствием дорожно-транспортной инфраструктуры потребностям общества и государства в безопасном дорожном движении, недостаточной эффективностью функционирования системы обеспечения безопасности дорожного движения, низкой дисциплиной участников дорожного движения и значительным ростом парка автомобилей.</w:t>
      </w:r>
    </w:p>
    <w:p>
      <w:pPr>
        <w:pStyle w:val="Normal"/>
        <w:tabs>
          <w:tab w:val="left" w:pos="0" w:leader="none"/>
        </w:tabs>
        <w:bidi w:val="0"/>
        <w:ind w:left="0" w:right="0" w:firstLine="709"/>
        <w:jc w:val="both"/>
        <w:rPr>
          <w:szCs w:val="22"/>
        </w:rPr>
      </w:pPr>
      <w:r>
        <w:rPr>
          <w:sz w:val="28"/>
          <w:szCs w:val="28"/>
        </w:rPr>
        <w:t>За период с 2003 года по настоящее время парк автомобилей увеличился почти три раза.</w:t>
      </w:r>
    </w:p>
    <w:p>
      <w:pPr>
        <w:pStyle w:val="Normal"/>
        <w:tabs>
          <w:tab w:val="left" w:pos="0" w:leader="none"/>
        </w:tabs>
        <w:bidi w:val="0"/>
        <w:ind w:left="0" w:right="0" w:firstLine="709"/>
        <w:jc w:val="both"/>
        <w:rPr>
          <w:szCs w:val="22"/>
        </w:rPr>
      </w:pPr>
      <w:r>
        <w:rPr>
          <w:sz w:val="28"/>
          <w:szCs w:val="28"/>
        </w:rPr>
        <w:t>Сложившаяся диспропорция между темпами развития улично-дорожной сети и темпами роста количества транспортных средств приводит к ухудшению условий дорожного движения, ухудшению экологической обстановки,  социальному дискомфорту, и, как следствие, к росту аварийности.</w:t>
      </w:r>
    </w:p>
    <w:p>
      <w:pPr>
        <w:pStyle w:val="Normal"/>
        <w:tabs>
          <w:tab w:val="left" w:pos="0" w:leader="none"/>
        </w:tabs>
        <w:bidi w:val="0"/>
        <w:ind w:left="0" w:right="0" w:firstLine="709"/>
        <w:jc w:val="both"/>
        <w:rPr>
          <w:szCs w:val="22"/>
        </w:rPr>
      </w:pPr>
      <w:r>
        <w:rPr>
          <w:sz w:val="28"/>
          <w:szCs w:val="28"/>
        </w:rPr>
        <w:t>Основными виновниками ДТП являются водители транспортных средств, нарушающие правила дорожного движения.</w:t>
      </w:r>
    </w:p>
    <w:p>
      <w:pPr>
        <w:pStyle w:val="Normal"/>
        <w:tabs>
          <w:tab w:val="left" w:pos="0" w:leader="none"/>
        </w:tabs>
        <w:bidi w:val="0"/>
        <w:ind w:left="0" w:right="0" w:firstLine="709"/>
        <w:jc w:val="both"/>
        <w:rPr>
          <w:szCs w:val="22"/>
        </w:rPr>
      </w:pPr>
      <w:r>
        <w:rPr>
          <w:sz w:val="28"/>
          <w:szCs w:val="28"/>
        </w:rPr>
        <w:t>Основными причинами к дальнейшему ухудшению ситуации во многом объясняются следующими показателями:</w:t>
      </w:r>
    </w:p>
    <w:p>
      <w:pPr>
        <w:pStyle w:val="Normal"/>
        <w:widowControl w:val="false"/>
        <w:tabs>
          <w:tab w:val="left" w:pos="720" w:leader="none"/>
        </w:tabs>
        <w:suppressAutoHyphens w:val="true"/>
        <w:bidi w:val="0"/>
        <w:ind w:left="0" w:right="0" w:firstLine="709"/>
        <w:jc w:val="both"/>
        <w:rPr>
          <w:szCs w:val="22"/>
        </w:rPr>
      </w:pPr>
      <w:r>
        <w:rPr>
          <w:sz w:val="28"/>
          <w:szCs w:val="28"/>
        </w:rPr>
        <w:t>- постоянно возрастающая мобильность населения;</w:t>
      </w:r>
    </w:p>
    <w:p>
      <w:pPr>
        <w:pStyle w:val="Normal"/>
        <w:widowControl w:val="false"/>
        <w:tabs>
          <w:tab w:val="left" w:pos="720" w:leader="none"/>
        </w:tabs>
        <w:suppressAutoHyphens w:val="true"/>
        <w:bidi w:val="0"/>
        <w:ind w:left="0" w:right="0" w:firstLine="709"/>
        <w:jc w:val="both"/>
        <w:rPr>
          <w:sz w:val="28"/>
          <w:szCs w:val="28"/>
        </w:rPr>
      </w:pPr>
      <w:r>
        <w:rPr>
          <w:sz w:val="28"/>
          <w:szCs w:val="28"/>
        </w:rPr>
        <w:t xml:space="preserve">- увеличение перевозок личным транспортом;   </w:t>
      </w:r>
    </w:p>
    <w:p>
      <w:pPr>
        <w:pStyle w:val="Normal"/>
        <w:widowControl w:val="false"/>
        <w:tabs>
          <w:tab w:val="left" w:pos="1080" w:leader="none"/>
        </w:tabs>
        <w:suppressAutoHyphens w:val="true"/>
        <w:bidi w:val="0"/>
        <w:ind w:left="0" w:right="0" w:firstLine="709"/>
        <w:jc w:val="both"/>
        <w:rPr>
          <w:sz w:val="28"/>
          <w:szCs w:val="28"/>
        </w:rPr>
      </w:pPr>
      <w:r>
        <w:rPr>
          <w:sz w:val="28"/>
          <w:szCs w:val="28"/>
        </w:rPr>
        <w:t>- нарастающая диспропорция между увеличением количества автомобилей и протяженностью улично-дорожной сети, не рассчитанной на современные транспортные потоки.</w:t>
      </w:r>
    </w:p>
    <w:p>
      <w:pPr>
        <w:pStyle w:val="Normal"/>
        <w:tabs>
          <w:tab w:val="left" w:pos="0" w:leader="none"/>
        </w:tabs>
        <w:bidi w:val="0"/>
        <w:ind w:left="0" w:right="0" w:firstLine="709"/>
        <w:jc w:val="both"/>
        <w:rPr>
          <w:szCs w:val="22"/>
        </w:rPr>
      </w:pPr>
      <w:r>
        <w:rPr>
          <w:sz w:val="28"/>
          <w:szCs w:val="28"/>
        </w:rPr>
        <w:t>В условиях ограниченных возможностей на развитие улично-дорожной сети решение вопросов упорядоченного движения транспорта и пешеходов, сокращение числа дорожно-транспортных происшествий возможно только за счет широкого внедрения рациональных методов и применения современных технических средств и систем организации движения. Их устройство должно быть, в первую очередь связано с местами концентрации ДТП.</w:t>
      </w:r>
    </w:p>
    <w:p>
      <w:pPr>
        <w:pStyle w:val="Normal"/>
        <w:tabs>
          <w:tab w:val="left" w:pos="0" w:leader="none"/>
        </w:tabs>
        <w:bidi w:val="0"/>
        <w:ind w:left="0" w:right="0" w:firstLine="709"/>
        <w:jc w:val="both"/>
        <w:rPr>
          <w:szCs w:val="22"/>
        </w:rPr>
      </w:pPr>
      <w:r>
        <w:rPr>
          <w:sz w:val="28"/>
          <w:szCs w:val="28"/>
        </w:rPr>
        <w:t>Применение программно-целевого метода позволит осуществить реализацию комплекса мероприятий, в том числе профилактического характера, снижающих количество дорожно-транспортных происшествий с пострадавшими и количество лиц, погибших в результате дорожно-транспортных происшествий.</w:t>
      </w:r>
    </w:p>
    <w:p>
      <w:pPr>
        <w:pStyle w:val="Normal"/>
        <w:tabs>
          <w:tab w:val="left" w:pos="0" w:leader="none"/>
        </w:tabs>
        <w:bidi w:val="0"/>
        <w:ind w:left="0" w:right="0" w:firstLine="709"/>
        <w:jc w:val="both"/>
        <w:rPr>
          <w:sz w:val="28"/>
          <w:szCs w:val="28"/>
        </w:rPr>
      </w:pPr>
      <w:r>
        <w:rPr>
          <w:sz w:val="28"/>
          <w:szCs w:val="28"/>
        </w:rPr>
      </w:r>
    </w:p>
    <w:p>
      <w:pPr>
        <w:pStyle w:val="Normal"/>
        <w:tabs>
          <w:tab w:val="left" w:pos="0" w:leader="none"/>
        </w:tabs>
        <w:bidi w:val="0"/>
        <w:ind w:left="0" w:right="0" w:firstLine="709"/>
        <w:jc w:val="both"/>
        <w:rPr>
          <w:szCs w:val="22"/>
        </w:rPr>
      </w:pPr>
      <w:r>
        <w:rPr>
          <w:sz w:val="28"/>
          <w:szCs w:val="28"/>
        </w:rPr>
        <w:t>Основными принципами Подпрограммы являются:</w:t>
      </w:r>
    </w:p>
    <w:p>
      <w:pPr>
        <w:pStyle w:val="Normal"/>
        <w:widowControl w:val="false"/>
        <w:tabs>
          <w:tab w:val="left" w:pos="720" w:leader="none"/>
        </w:tabs>
        <w:suppressAutoHyphens w:val="true"/>
        <w:bidi w:val="0"/>
        <w:ind w:left="0" w:right="0" w:firstLine="709"/>
        <w:jc w:val="both"/>
        <w:rPr>
          <w:sz w:val="28"/>
          <w:szCs w:val="28"/>
        </w:rPr>
      </w:pPr>
      <w:r>
        <w:rPr>
          <w:sz w:val="28"/>
          <w:szCs w:val="28"/>
        </w:rPr>
        <w:t>- приоритет жизни и здоровья граждан, участвующих в дорожном движении, над экономическими результатами хозяйственной деятельности;</w:t>
      </w:r>
    </w:p>
    <w:p>
      <w:pPr>
        <w:pStyle w:val="Normal"/>
        <w:widowControl w:val="false"/>
        <w:tabs>
          <w:tab w:val="left" w:pos="720" w:leader="none"/>
        </w:tabs>
        <w:suppressAutoHyphens w:val="true"/>
        <w:bidi w:val="0"/>
        <w:ind w:left="0" w:right="0" w:firstLine="709"/>
        <w:jc w:val="both"/>
        <w:rPr>
          <w:szCs w:val="22"/>
        </w:rPr>
      </w:pPr>
      <w:r>
        <w:rPr>
          <w:sz w:val="28"/>
          <w:szCs w:val="28"/>
        </w:rPr>
        <w:t>- соблюдение интересов граждан, общества и государства при развитии дорожного хозяйства.</w:t>
      </w:r>
    </w:p>
    <w:p>
      <w:pPr>
        <w:pStyle w:val="Normal"/>
        <w:bidi w:val="0"/>
        <w:ind w:left="0" w:right="0" w:firstLine="709"/>
        <w:jc w:val="both"/>
        <w:rPr>
          <w:rFonts w:eastAsia="Calibri"/>
          <w:sz w:val="28"/>
          <w:szCs w:val="28"/>
        </w:rPr>
      </w:pPr>
      <w:r>
        <w:rPr>
          <w:rFonts w:eastAsia="Calibri"/>
          <w:sz w:val="28"/>
          <w:szCs w:val="28"/>
        </w:rPr>
      </w:r>
    </w:p>
    <w:p>
      <w:pPr>
        <w:pStyle w:val="Normal"/>
        <w:tabs>
          <w:tab w:val="left" w:pos="1800" w:leader="none"/>
        </w:tabs>
        <w:bidi w:val="0"/>
        <w:ind w:left="0" w:right="0" w:firstLine="709"/>
        <w:jc w:val="center"/>
        <w:rPr>
          <w:szCs w:val="22"/>
        </w:rPr>
      </w:pPr>
      <w:r>
        <w:rPr>
          <w:rFonts w:eastAsia="Calibri"/>
          <w:b/>
          <w:bCs/>
          <w:sz w:val="28"/>
          <w:szCs w:val="28"/>
        </w:rPr>
        <w:t xml:space="preserve">2. </w:t>
      </w:r>
      <w:r>
        <w:rPr>
          <w:b/>
          <w:color w:val="000000"/>
          <w:sz w:val="28"/>
          <w:szCs w:val="28"/>
        </w:rPr>
        <w:t>Приоритеты политики администрации  муниципального образования Залесовский  сельсовет Красногвардейского района  в сфере реализации подпрограммы, цель, задачи и показатели (индикаторы) их достижения.</w:t>
      </w:r>
    </w:p>
    <w:p>
      <w:pPr>
        <w:pStyle w:val="Normal"/>
        <w:tabs>
          <w:tab w:val="left" w:pos="1080" w:leader="none"/>
        </w:tabs>
        <w:bidi w:val="0"/>
        <w:ind w:left="0" w:right="0" w:firstLine="709"/>
        <w:jc w:val="center"/>
        <w:rPr>
          <w:rFonts w:eastAsia="Calibri"/>
          <w:sz w:val="28"/>
          <w:szCs w:val="28"/>
        </w:rPr>
      </w:pPr>
      <w:r>
        <w:rPr>
          <w:rFonts w:eastAsia="Calibri"/>
          <w:sz w:val="28"/>
          <w:szCs w:val="28"/>
        </w:rPr>
      </w:r>
    </w:p>
    <w:p>
      <w:pPr>
        <w:pStyle w:val="Normal"/>
        <w:tabs>
          <w:tab w:val="left" w:pos="0" w:leader="none"/>
        </w:tabs>
        <w:bidi w:val="0"/>
        <w:ind w:left="0" w:right="0" w:firstLine="709"/>
        <w:jc w:val="both"/>
        <w:rPr>
          <w:szCs w:val="22"/>
        </w:rPr>
      </w:pPr>
      <w:r>
        <w:rPr>
          <w:sz w:val="28"/>
          <w:szCs w:val="28"/>
        </w:rPr>
        <w:t>Основными целями Подпрограммы являются повышение эффективности обеспечения безопасности дорожного движения в границах сельского поселения.</w:t>
      </w:r>
    </w:p>
    <w:p>
      <w:pPr>
        <w:pStyle w:val="Normal"/>
        <w:tabs>
          <w:tab w:val="left" w:pos="0" w:leader="none"/>
        </w:tabs>
        <w:bidi w:val="0"/>
        <w:ind w:left="0" w:right="0" w:firstLine="709"/>
        <w:jc w:val="both"/>
        <w:rPr>
          <w:szCs w:val="22"/>
        </w:rPr>
      </w:pPr>
      <w:r>
        <w:rPr>
          <w:sz w:val="28"/>
          <w:szCs w:val="28"/>
        </w:rPr>
        <w:t>Для достижения поставленной цели в ходе реализации Подпрограммы предусматривается решение следующих задач:</w:t>
      </w:r>
    </w:p>
    <w:p>
      <w:pPr>
        <w:pStyle w:val="Normal"/>
        <w:widowControl w:val="false"/>
        <w:numPr>
          <w:ilvl w:val="0"/>
          <w:numId w:val="1"/>
        </w:numPr>
        <w:tabs>
          <w:tab w:val="left" w:pos="720" w:leader="none"/>
          <w:tab w:val="left" w:pos="1800" w:leader="none"/>
        </w:tabs>
        <w:suppressAutoHyphens w:val="true"/>
        <w:bidi w:val="0"/>
        <w:ind w:left="0" w:right="0" w:firstLine="709"/>
        <w:jc w:val="both"/>
        <w:rPr>
          <w:szCs w:val="22"/>
        </w:rPr>
      </w:pPr>
      <w:r>
        <w:rPr>
          <w:sz w:val="28"/>
          <w:szCs w:val="28"/>
        </w:rPr>
        <w:t>сокращение количества дорожно-транспортных происшествий и пострадавших в результате их совершения;</w:t>
      </w:r>
    </w:p>
    <w:p>
      <w:pPr>
        <w:pStyle w:val="Normal"/>
        <w:widowControl w:val="false"/>
        <w:numPr>
          <w:ilvl w:val="0"/>
          <w:numId w:val="1"/>
        </w:numPr>
        <w:tabs>
          <w:tab w:val="left" w:pos="720" w:leader="none"/>
          <w:tab w:val="left" w:pos="1800" w:leader="none"/>
        </w:tabs>
        <w:suppressAutoHyphens w:val="true"/>
        <w:bidi w:val="0"/>
        <w:ind w:left="0" w:right="0" w:firstLine="709"/>
        <w:jc w:val="both"/>
        <w:rPr>
          <w:szCs w:val="22"/>
        </w:rPr>
      </w:pPr>
      <w:r>
        <w:rPr>
          <w:sz w:val="28"/>
          <w:szCs w:val="28"/>
        </w:rPr>
        <w:t xml:space="preserve"> </w:t>
      </w:r>
      <w:r>
        <w:rPr>
          <w:sz w:val="28"/>
          <w:szCs w:val="28"/>
        </w:rPr>
        <w:t>совершенствование организации движения транспорта и пешеходов в населенных пунктах сельского поселения;</w:t>
      </w:r>
    </w:p>
    <w:p>
      <w:pPr>
        <w:pStyle w:val="Normal"/>
        <w:widowControl w:val="false"/>
        <w:numPr>
          <w:ilvl w:val="0"/>
          <w:numId w:val="1"/>
        </w:numPr>
        <w:tabs>
          <w:tab w:val="left" w:pos="0" w:leader="none"/>
          <w:tab w:val="left" w:pos="1800" w:leader="none"/>
        </w:tabs>
        <w:suppressAutoHyphens w:val="true"/>
        <w:bidi w:val="0"/>
        <w:ind w:left="0" w:right="0" w:firstLine="709"/>
        <w:jc w:val="both"/>
        <w:rPr>
          <w:szCs w:val="22"/>
        </w:rPr>
      </w:pPr>
      <w:r>
        <w:rPr>
          <w:sz w:val="28"/>
          <w:szCs w:val="28"/>
        </w:rPr>
        <w:t>Для реализации поставленных целей и решения задач Подпрограммы предусмотрено выполнение следующих мероприятий:</w:t>
      </w:r>
    </w:p>
    <w:p>
      <w:pPr>
        <w:pStyle w:val="Normal"/>
        <w:widowControl w:val="false"/>
        <w:numPr>
          <w:ilvl w:val="0"/>
          <w:numId w:val="1"/>
        </w:numPr>
        <w:tabs>
          <w:tab w:val="left" w:pos="720" w:leader="none"/>
          <w:tab w:val="left" w:pos="1800" w:leader="none"/>
        </w:tabs>
        <w:suppressAutoHyphens w:val="true"/>
        <w:bidi w:val="0"/>
        <w:ind w:left="0" w:right="0" w:firstLine="709"/>
        <w:jc w:val="both"/>
        <w:rPr>
          <w:szCs w:val="22"/>
        </w:rPr>
      </w:pPr>
      <w:r>
        <w:rPr>
          <w:sz w:val="28"/>
          <w:szCs w:val="28"/>
        </w:rPr>
        <w:t>содержание и ремонт автомобильных дорог поселения и искусственных сооружений на них;</w:t>
      </w:r>
    </w:p>
    <w:p>
      <w:pPr>
        <w:pStyle w:val="Normal"/>
        <w:widowControl w:val="false"/>
        <w:numPr>
          <w:ilvl w:val="0"/>
          <w:numId w:val="1"/>
        </w:numPr>
        <w:tabs>
          <w:tab w:val="left" w:pos="720" w:leader="none"/>
          <w:tab w:val="left" w:pos="1800" w:leader="none"/>
        </w:tabs>
        <w:suppressAutoHyphens w:val="true"/>
        <w:bidi w:val="0"/>
        <w:ind w:left="0" w:right="0" w:firstLine="709"/>
        <w:jc w:val="both"/>
        <w:rPr>
          <w:szCs w:val="22"/>
        </w:rPr>
      </w:pPr>
      <w:r>
        <w:rPr>
          <w:sz w:val="28"/>
          <w:szCs w:val="28"/>
        </w:rPr>
        <w:t xml:space="preserve">проведение мероприятий, направленных на повышение безопасности дорожного движения. </w:t>
      </w:r>
    </w:p>
    <w:p>
      <w:pPr>
        <w:pStyle w:val="Normal"/>
        <w:widowControl w:val="false"/>
        <w:numPr>
          <w:ilvl w:val="0"/>
          <w:numId w:val="1"/>
        </w:numPr>
        <w:tabs>
          <w:tab w:val="left" w:pos="720" w:leader="none"/>
          <w:tab w:val="left" w:pos="1800" w:leader="none"/>
        </w:tabs>
        <w:suppressAutoHyphens w:val="true"/>
        <w:bidi w:val="0"/>
        <w:ind w:left="0" w:right="0" w:firstLine="709"/>
        <w:jc w:val="both"/>
        <w:rPr>
          <w:szCs w:val="22"/>
        </w:rPr>
      </w:pPr>
      <w:r>
        <w:rPr>
          <w:sz w:val="28"/>
          <w:szCs w:val="28"/>
        </w:rPr>
        <w:t xml:space="preserve"> </w:t>
      </w:r>
      <w:r>
        <w:rPr>
          <w:sz w:val="28"/>
          <w:szCs w:val="28"/>
        </w:rPr>
        <w:t>ремонт и содержание линий наружного освещения дорог;</w:t>
      </w:r>
    </w:p>
    <w:p>
      <w:pPr>
        <w:pStyle w:val="Normal"/>
        <w:bidi w:val="0"/>
        <w:ind w:left="0" w:right="0" w:firstLine="709"/>
        <w:jc w:val="both"/>
        <w:rPr>
          <w:szCs w:val="22"/>
        </w:rPr>
      </w:pPr>
      <w:r>
        <w:rPr>
          <w:color w:val="000000"/>
          <w:sz w:val="28"/>
          <w:szCs w:val="28"/>
        </w:rPr>
        <w:t xml:space="preserve">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указаны в таблице 6 раздела 6 </w:t>
      </w:r>
      <w:r>
        <w:rPr>
          <w:sz w:val="28"/>
          <w:szCs w:val="28"/>
        </w:rPr>
        <w:t>к  муниципальной программе "Об утверждении программы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на 2017-2021 годы и с перспективой до 2033 года"</w:t>
      </w:r>
    </w:p>
    <w:p>
      <w:pPr>
        <w:pStyle w:val="Normal"/>
        <w:bidi w:val="0"/>
        <w:ind w:left="0" w:right="0" w:firstLine="709"/>
        <w:jc w:val="both"/>
        <w:rPr>
          <w:rFonts w:eastAsia="Calibri"/>
          <w:sz w:val="28"/>
          <w:szCs w:val="28"/>
        </w:rPr>
      </w:pPr>
      <w:r>
        <w:rPr>
          <w:rFonts w:eastAsia="Calibri"/>
          <w:sz w:val="28"/>
          <w:szCs w:val="28"/>
        </w:rPr>
      </w:r>
    </w:p>
    <w:p>
      <w:pPr>
        <w:pStyle w:val="Normal"/>
        <w:bidi w:val="0"/>
        <w:ind w:left="0" w:right="0" w:firstLine="709"/>
        <w:jc w:val="center"/>
        <w:rPr>
          <w:szCs w:val="22"/>
        </w:rPr>
      </w:pPr>
      <w:r>
        <w:rPr>
          <w:b/>
          <w:color w:val="000000"/>
          <w:sz w:val="28"/>
          <w:szCs w:val="28"/>
        </w:rPr>
        <w:t>3. Перечень и характеристика основных мероприятий подпрограммы</w:t>
      </w:r>
    </w:p>
    <w:p>
      <w:pPr>
        <w:pStyle w:val="Normal"/>
        <w:bidi w:val="0"/>
        <w:ind w:left="0" w:right="0" w:firstLine="709"/>
        <w:jc w:val="both"/>
        <w:rPr>
          <w:rFonts w:eastAsia="Calibri"/>
          <w:sz w:val="28"/>
          <w:szCs w:val="28"/>
        </w:rPr>
      </w:pPr>
      <w:r>
        <w:rPr>
          <w:rFonts w:eastAsia="Calibri"/>
          <w:sz w:val="28"/>
          <w:szCs w:val="28"/>
        </w:rPr>
      </w:r>
    </w:p>
    <w:p>
      <w:pPr>
        <w:pStyle w:val="Normal"/>
        <w:bidi w:val="0"/>
        <w:ind w:left="0" w:right="0" w:firstLine="709"/>
        <w:jc w:val="both"/>
        <w:rPr>
          <w:szCs w:val="22"/>
        </w:rPr>
      </w:pPr>
      <w:r>
        <w:rPr>
          <w:sz w:val="28"/>
          <w:szCs w:val="28"/>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w:t>
      </w:r>
      <w:r>
        <w:rPr>
          <w:color w:val="FF3333"/>
          <w:sz w:val="28"/>
          <w:szCs w:val="28"/>
        </w:rPr>
        <w:t xml:space="preserve"> </w:t>
      </w:r>
      <w:r>
        <w:rPr>
          <w:color w:val="000000"/>
          <w:sz w:val="28"/>
          <w:szCs w:val="28"/>
        </w:rPr>
        <w:t>разделе</w:t>
      </w:r>
      <w:r>
        <w:rPr>
          <w:color w:val="FF3333"/>
          <w:sz w:val="28"/>
          <w:szCs w:val="28"/>
        </w:rPr>
        <w:t xml:space="preserve"> </w:t>
      </w:r>
      <w:r>
        <w:rPr>
          <w:color w:val="000000"/>
          <w:sz w:val="28"/>
          <w:szCs w:val="28"/>
        </w:rPr>
        <w:t>№ 5</w:t>
      </w:r>
      <w:r>
        <w:rPr>
          <w:sz w:val="28"/>
          <w:szCs w:val="28"/>
        </w:rPr>
        <w:t xml:space="preserve"> к муниципальной Программе  "Об утверждении программы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на 2017-2021 годы и с перспективой до 2033 года"</w:t>
      </w:r>
    </w:p>
    <w:p>
      <w:pPr>
        <w:pStyle w:val="Normal"/>
        <w:bidi w:val="0"/>
        <w:ind w:left="0" w:right="0" w:firstLine="709"/>
        <w:jc w:val="both"/>
        <w:rPr>
          <w:rFonts w:eastAsia="Calibri"/>
          <w:sz w:val="28"/>
          <w:szCs w:val="28"/>
        </w:rPr>
      </w:pPr>
      <w:r>
        <w:rPr>
          <w:rFonts w:eastAsia="Calibri"/>
          <w:sz w:val="28"/>
          <w:szCs w:val="28"/>
        </w:rPr>
      </w:r>
    </w:p>
    <w:p>
      <w:pPr>
        <w:pStyle w:val="Normal"/>
        <w:bidi w:val="0"/>
        <w:ind w:left="0" w:right="0" w:firstLine="709"/>
        <w:jc w:val="center"/>
        <w:rPr>
          <w:szCs w:val="22"/>
        </w:rPr>
      </w:pPr>
      <w:r>
        <w:rPr>
          <w:b/>
          <w:color w:val="000000"/>
          <w:sz w:val="28"/>
          <w:szCs w:val="28"/>
        </w:rPr>
        <w:t>4. Информация о ресурсном обеспечении подпрограммы</w:t>
      </w:r>
    </w:p>
    <w:p>
      <w:pPr>
        <w:pStyle w:val="Normal"/>
        <w:bidi w:val="0"/>
        <w:ind w:left="0" w:right="0" w:firstLine="709"/>
        <w:jc w:val="center"/>
        <w:rPr>
          <w:rFonts w:eastAsia="Calibri"/>
          <w:sz w:val="28"/>
          <w:szCs w:val="28"/>
        </w:rPr>
      </w:pPr>
      <w:r>
        <w:rPr>
          <w:rFonts w:eastAsia="Calibri"/>
          <w:sz w:val="28"/>
          <w:szCs w:val="28"/>
        </w:rPr>
      </w:r>
    </w:p>
    <w:p>
      <w:pPr>
        <w:pStyle w:val="Normal"/>
        <w:tabs>
          <w:tab w:val="center" w:pos="4153" w:leader="none"/>
          <w:tab w:val="right" w:pos="8306" w:leader="none"/>
        </w:tabs>
        <w:bidi w:val="0"/>
        <w:ind w:left="0" w:right="0" w:firstLine="709"/>
        <w:jc w:val="both"/>
        <w:rPr>
          <w:szCs w:val="22"/>
        </w:rPr>
      </w:pPr>
      <w:r>
        <w:rPr>
          <w:sz w:val="28"/>
          <w:szCs w:val="28"/>
        </w:rPr>
        <w:t>Источником финансирования Подпрограммы является дорожный фонд,  бюджет муниципального образования  Залесовский  сельсовет и средства областного бюджета.</w:t>
      </w:r>
    </w:p>
    <w:p>
      <w:pPr>
        <w:pStyle w:val="Normal"/>
        <w:tabs>
          <w:tab w:val="center" w:pos="4153" w:leader="none"/>
          <w:tab w:val="right" w:pos="8306" w:leader="none"/>
        </w:tabs>
        <w:bidi w:val="0"/>
        <w:ind w:left="0" w:right="0" w:firstLine="709"/>
        <w:jc w:val="both"/>
        <w:rPr>
          <w:szCs w:val="22"/>
        </w:rPr>
      </w:pPr>
      <w:r>
        <w:rPr>
          <w:sz w:val="28"/>
          <w:szCs w:val="28"/>
        </w:rPr>
        <w:t>Объемы финансирования мероприятий Подпрограммы определяются решением Совета  депутатов муниципального образования  Залесовский  сельсовет и носят прогнозный характер.</w:t>
      </w:r>
    </w:p>
    <w:p>
      <w:pPr>
        <w:pStyle w:val="Normal"/>
        <w:tabs>
          <w:tab w:val="center" w:pos="4153" w:leader="none"/>
          <w:tab w:val="right" w:pos="8306" w:leader="none"/>
        </w:tabs>
        <w:bidi w:val="0"/>
        <w:ind w:left="0" w:right="0" w:firstLine="709"/>
        <w:jc w:val="both"/>
        <w:rPr>
          <w:szCs w:val="22"/>
        </w:rPr>
      </w:pPr>
      <w:r>
        <w:rPr>
          <w:sz w:val="28"/>
          <w:szCs w:val="28"/>
        </w:rPr>
        <w:t>Объемы бюджетных средств ежегодно уточняются в соответствии с решением Совета  депутатов муниципального образования  Залесовский сельсовет.</w:t>
      </w:r>
    </w:p>
    <w:p>
      <w:pPr>
        <w:pStyle w:val="Normal"/>
        <w:bidi w:val="0"/>
        <w:ind w:left="0" w:right="0" w:firstLine="709"/>
        <w:jc w:val="both"/>
        <w:rPr>
          <w:szCs w:val="22"/>
        </w:rPr>
      </w:pPr>
      <w:r>
        <w:rPr>
          <w:sz w:val="28"/>
          <w:szCs w:val="28"/>
        </w:rPr>
        <w:t xml:space="preserve">В Подпрограмму могут быть внесены изменения в случаях: </w:t>
      </w:r>
    </w:p>
    <w:p>
      <w:pPr>
        <w:pStyle w:val="Normal"/>
        <w:tabs>
          <w:tab w:val="center" w:pos="4153" w:leader="none"/>
          <w:tab w:val="right" w:pos="8306" w:leader="none"/>
        </w:tabs>
        <w:bidi w:val="0"/>
        <w:ind w:left="0" w:right="0" w:firstLine="709"/>
        <w:jc w:val="both"/>
        <w:rPr>
          <w:szCs w:val="22"/>
        </w:rPr>
      </w:pPr>
      <w:r>
        <w:rPr>
          <w:sz w:val="28"/>
          <w:szCs w:val="28"/>
        </w:rPr>
        <w:t>а) снижения ожидаемых поступлений в бюджет муниципального образования Залесовский сельсовет;</w:t>
      </w:r>
    </w:p>
    <w:p>
      <w:pPr>
        <w:pStyle w:val="Normal"/>
        <w:bidi w:val="0"/>
        <w:ind w:left="0" w:right="0" w:firstLine="709"/>
        <w:jc w:val="both"/>
        <w:rPr>
          <w:szCs w:val="22"/>
        </w:rPr>
      </w:pPr>
      <w:r>
        <w:rPr>
          <w:sz w:val="28"/>
          <w:szCs w:val="28"/>
        </w:rPr>
        <w:t xml:space="preserve">б) принятия решения о списании с получателя средств в бесспорном порядке суммы средств и (или) блокировке расходов по выявленным направлениям нецелевого или неэффективного использования бюджетных средств в порядке, предусмотренном законодательством; </w:t>
      </w:r>
    </w:p>
    <w:p>
      <w:pPr>
        <w:pStyle w:val="Normal"/>
        <w:bidi w:val="0"/>
        <w:ind w:left="0" w:right="0" w:firstLine="709"/>
        <w:jc w:val="both"/>
        <w:rPr>
          <w:szCs w:val="22"/>
        </w:rPr>
      </w:pPr>
      <w:r>
        <w:rPr>
          <w:sz w:val="28"/>
          <w:szCs w:val="28"/>
        </w:rPr>
        <w:t xml:space="preserve">в) необходимости включения в Подпрограмму дополнительных мероприятий; </w:t>
      </w:r>
    </w:p>
    <w:p>
      <w:pPr>
        <w:pStyle w:val="Normal"/>
        <w:bidi w:val="0"/>
        <w:ind w:left="0" w:right="0" w:firstLine="709"/>
        <w:jc w:val="both"/>
        <w:rPr>
          <w:szCs w:val="22"/>
        </w:rPr>
      </w:pPr>
      <w:r>
        <w:rPr>
          <w:sz w:val="28"/>
          <w:szCs w:val="28"/>
        </w:rPr>
        <w:t xml:space="preserve">г) необходимости ускорения реализации или досрочного прекращения реализации Подпрограммы или ее отдельных мероприятии. </w:t>
      </w:r>
    </w:p>
    <w:p>
      <w:pPr>
        <w:pStyle w:val="Normal"/>
        <w:bidi w:val="0"/>
        <w:ind w:left="0" w:right="0" w:firstLine="709"/>
        <w:jc w:val="both"/>
        <w:rPr>
          <w:szCs w:val="22"/>
        </w:rPr>
      </w:pPr>
      <w:r>
        <w:rPr>
          <w:sz w:val="28"/>
          <w:szCs w:val="28"/>
        </w:rPr>
        <w:t>Внесение изменений в перечень мероприятий Подпрограммы на очередной финансовый год осуществляется не позднее одного месяца до дня внесения проекта бюджета муниципального образования  Залесовский сельсовет на очередной финансовый год на рассмотрение Совета депутатов муниципального образования Залесовский сельсовет.</w:t>
      </w:r>
    </w:p>
    <w:p>
      <w:pPr>
        <w:pStyle w:val="Normal"/>
        <w:bidi w:val="0"/>
        <w:ind w:left="0" w:right="0" w:firstLine="709"/>
        <w:jc w:val="both"/>
        <w:rPr>
          <w:szCs w:val="22"/>
        </w:rPr>
      </w:pPr>
      <w:r>
        <w:rPr>
          <w:color w:val="000000"/>
          <w:sz w:val="28"/>
          <w:szCs w:val="28"/>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Normal"/>
        <w:bidi w:val="0"/>
        <w:ind w:left="0" w:right="0" w:firstLine="709"/>
        <w:jc w:val="both"/>
        <w:rPr>
          <w:szCs w:val="22"/>
        </w:rPr>
      </w:pPr>
      <w:r>
        <w:rPr>
          <w:sz w:val="28"/>
          <w:szCs w:val="28"/>
        </w:rPr>
        <w:t>Общий объем финансирования подпрограммы составляет</w:t>
      </w:r>
      <w:r>
        <w:rPr>
          <w:color w:val="111111"/>
          <w:sz w:val="28"/>
          <w:szCs w:val="28"/>
        </w:rPr>
        <w:t xml:space="preserve"> </w:t>
      </w:r>
      <w:r>
        <w:rPr>
          <w:color w:val="111111"/>
          <w:sz w:val="28"/>
          <w:szCs w:val="28"/>
          <w:highlight w:val="yellow"/>
        </w:rPr>
        <w:t>2459,8</w:t>
      </w:r>
      <w:r>
        <w:rPr>
          <w:sz w:val="28"/>
          <w:szCs w:val="28"/>
        </w:rPr>
        <w:t xml:space="preserve"> тыс. рублей, в том числе по годам реализации:</w:t>
      </w:r>
    </w:p>
    <w:p>
      <w:pPr>
        <w:pStyle w:val="Normal"/>
        <w:bidi w:val="0"/>
        <w:ind w:left="0" w:right="0" w:firstLine="709"/>
        <w:jc w:val="both"/>
        <w:rPr>
          <w:szCs w:val="22"/>
        </w:rPr>
      </w:pPr>
      <w:r>
        <w:rPr>
          <w:color w:val="111111"/>
          <w:sz w:val="28"/>
          <w:szCs w:val="28"/>
        </w:rPr>
        <w:t>2018 год – 320,4 тыс. рублей</w:t>
      </w:r>
    </w:p>
    <w:p>
      <w:pPr>
        <w:pStyle w:val="Normal"/>
        <w:bidi w:val="0"/>
        <w:ind w:left="0" w:right="0" w:firstLine="709"/>
        <w:jc w:val="both"/>
        <w:rPr>
          <w:szCs w:val="22"/>
        </w:rPr>
      </w:pPr>
      <w:r>
        <w:rPr>
          <w:color w:val="111111"/>
          <w:sz w:val="28"/>
          <w:szCs w:val="28"/>
        </w:rPr>
        <w:t xml:space="preserve">2019 год-  </w:t>
      </w:r>
      <w:r>
        <w:rPr>
          <w:color w:val="111111"/>
          <w:sz w:val="28"/>
          <w:szCs w:val="28"/>
          <w:highlight w:val="yellow"/>
        </w:rPr>
        <w:t>359,7</w:t>
      </w:r>
      <w:r>
        <w:rPr>
          <w:color w:val="111111"/>
          <w:sz w:val="28"/>
          <w:szCs w:val="28"/>
        </w:rPr>
        <w:t xml:space="preserve"> тыс. рублей</w:t>
      </w:r>
    </w:p>
    <w:p>
      <w:pPr>
        <w:pStyle w:val="Normal"/>
        <w:bidi w:val="0"/>
        <w:ind w:left="0" w:right="0" w:firstLine="709"/>
        <w:jc w:val="both"/>
        <w:rPr>
          <w:szCs w:val="22"/>
        </w:rPr>
      </w:pPr>
      <w:r>
        <w:rPr>
          <w:color w:val="111111"/>
          <w:sz w:val="28"/>
          <w:szCs w:val="28"/>
        </w:rPr>
        <w:t>2020 год – 461,5 тыс. рублей</w:t>
      </w:r>
    </w:p>
    <w:p>
      <w:pPr>
        <w:pStyle w:val="Normal"/>
        <w:bidi w:val="0"/>
        <w:ind w:left="0" w:right="0" w:firstLine="709"/>
        <w:jc w:val="both"/>
        <w:rPr>
          <w:szCs w:val="22"/>
        </w:rPr>
      </w:pPr>
      <w:r>
        <w:rPr>
          <w:color w:val="111111"/>
          <w:sz w:val="28"/>
          <w:szCs w:val="28"/>
        </w:rPr>
        <w:t>2021 год – 659,1 тыс. рублей</w:t>
      </w:r>
    </w:p>
    <w:p>
      <w:pPr>
        <w:pStyle w:val="Normal"/>
        <w:bidi w:val="0"/>
        <w:ind w:left="0" w:right="0" w:firstLine="709"/>
        <w:jc w:val="both"/>
        <w:rPr>
          <w:color w:val="111111"/>
          <w:szCs w:val="22"/>
        </w:rPr>
      </w:pPr>
      <w:r>
        <w:rPr>
          <w:color w:val="111111"/>
          <w:sz w:val="28"/>
          <w:szCs w:val="28"/>
        </w:rPr>
        <w:t>2022 год – 659,1 тыс. рублей</w:t>
      </w:r>
    </w:p>
    <w:p>
      <w:pPr>
        <w:pStyle w:val="Normal"/>
        <w:bidi w:val="0"/>
        <w:ind w:left="0" w:right="0" w:firstLine="709"/>
        <w:jc w:val="both"/>
        <w:rPr>
          <w:szCs w:val="22"/>
        </w:rPr>
      </w:pPr>
      <w:r>
        <w:rPr>
          <w:sz w:val="28"/>
          <w:szCs w:val="28"/>
        </w:rPr>
        <w:t xml:space="preserve"> </w:t>
      </w:r>
      <w:r>
        <w:rPr>
          <w:sz w:val="28"/>
          <w:szCs w:val="28"/>
        </w:rPr>
        <w:t>Ресурсное обеспечение с разбивкой по годам и мероприятиям подпрограммы приведены в приложении № 3 к  муниципальной Программе  "Устойчивое развитие  территории  муниципального образования Залесовский  сельсовет Красногвардейского  района Оренбургской области"</w:t>
      </w:r>
    </w:p>
    <w:p>
      <w:pPr>
        <w:pStyle w:val="Normal"/>
        <w:bidi w:val="0"/>
        <w:ind w:left="0" w:right="0" w:firstLine="709"/>
        <w:jc w:val="both"/>
        <w:rPr>
          <w:rFonts w:eastAsia="Calibri"/>
          <w:sz w:val="28"/>
          <w:szCs w:val="28"/>
        </w:rPr>
      </w:pPr>
      <w:r>
        <w:rPr>
          <w:rFonts w:eastAsia="Calibri"/>
          <w:sz w:val="28"/>
          <w:szCs w:val="28"/>
        </w:rPr>
      </w:r>
    </w:p>
    <w:p>
      <w:pPr>
        <w:pStyle w:val="Normal"/>
        <w:bidi w:val="0"/>
        <w:ind w:left="0" w:right="0" w:firstLine="709"/>
        <w:jc w:val="center"/>
        <w:rPr>
          <w:szCs w:val="22"/>
        </w:rPr>
      </w:pPr>
      <w:r>
        <w:rPr>
          <w:b/>
          <w:sz w:val="28"/>
          <w:szCs w:val="28"/>
        </w:rPr>
        <w:t xml:space="preserve">5. Информация о значимости подпрограммы для достижения целей муниципальной программы </w:t>
      </w:r>
    </w:p>
    <w:p>
      <w:pPr>
        <w:pStyle w:val="Normal"/>
        <w:bidi w:val="0"/>
        <w:ind w:left="0" w:right="0" w:firstLine="709"/>
        <w:jc w:val="both"/>
        <w:rPr>
          <w:rFonts w:eastAsia="Calibri"/>
          <w:sz w:val="28"/>
          <w:szCs w:val="28"/>
        </w:rPr>
      </w:pPr>
      <w:r>
        <w:rPr>
          <w:rFonts w:eastAsia="Calibri"/>
          <w:sz w:val="28"/>
          <w:szCs w:val="28"/>
        </w:rPr>
      </w:r>
    </w:p>
    <w:p>
      <w:pPr>
        <w:pStyle w:val="Normal"/>
        <w:bidi w:val="0"/>
        <w:ind w:left="0" w:right="0" w:firstLine="709"/>
        <w:jc w:val="both"/>
        <w:rPr>
          <w:sz w:val="24"/>
          <w:szCs w:val="24"/>
        </w:rPr>
      </w:pPr>
      <w:r>
        <w:rPr>
          <w:sz w:val="28"/>
          <w:szCs w:val="28"/>
        </w:rPr>
        <w:t xml:space="preserve">Коэффициент значимости подпрограммы «Содержание и ремонт автомобильных дорог общего пользования местного значения в муниципальном образовании  Залесовский  сельсовет на 2018-2022 годы» составляет 0,167 </w:t>
      </w:r>
    </w:p>
    <w:p>
      <w:pPr>
        <w:pStyle w:val="Normal"/>
        <w:bidi w:val="0"/>
        <w:ind w:left="0" w:right="0" w:firstLine="709"/>
        <w:jc w:val="both"/>
        <w:rPr>
          <w:szCs w:val="22"/>
        </w:rPr>
      </w:pPr>
      <w:r>
        <w:rPr>
          <w:sz w:val="28"/>
          <w:szCs w:val="28"/>
        </w:rPr>
        <w:t>kj – коэффициент значимости подпрограммы  для достижения целей муниципальной программы, определяется:</w:t>
      </w:r>
    </w:p>
    <w:p>
      <w:pPr>
        <w:pStyle w:val="Normal"/>
        <w:bidi w:val="0"/>
        <w:ind w:left="0" w:right="0" w:firstLine="709"/>
        <w:jc w:val="both"/>
        <w:rPr>
          <w:szCs w:val="22"/>
        </w:rPr>
      </w:pPr>
      <w:r>
        <w:rPr>
          <w:sz w:val="28"/>
          <w:szCs w:val="28"/>
        </w:rPr>
        <w:t>kj= МП/j , где:</w:t>
      </w:r>
    </w:p>
    <w:p>
      <w:pPr>
        <w:pStyle w:val="Normal"/>
        <w:bidi w:val="0"/>
        <w:ind w:left="0" w:right="0" w:firstLine="709"/>
        <w:jc w:val="both"/>
        <w:rPr>
          <w:szCs w:val="22"/>
        </w:rPr>
      </w:pPr>
      <w:r>
        <w:rPr>
          <w:sz w:val="28"/>
          <w:szCs w:val="28"/>
        </w:rPr>
        <w:t>МП - муниципальная программа равна 1;</w:t>
      </w:r>
    </w:p>
    <w:p>
      <w:pPr>
        <w:pStyle w:val="Normal"/>
        <w:bidi w:val="0"/>
        <w:ind w:left="0" w:right="0" w:firstLine="709"/>
        <w:jc w:val="both"/>
        <w:rPr>
          <w:szCs w:val="22"/>
        </w:rPr>
      </w:pPr>
      <w:r>
        <w:rPr>
          <w:sz w:val="28"/>
          <w:szCs w:val="28"/>
        </w:rPr>
        <w:t>j – количество подпрограмм в программе.</w:t>
      </w:r>
    </w:p>
    <w:p>
      <w:pPr>
        <w:pStyle w:val="NoSpacing"/>
        <w:bidi w:val="0"/>
        <w:ind w:left="0" w:right="0"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bidi w:val="0"/>
        <w:ind w:left="0" w:right="0" w:firstLine="709"/>
        <w:jc w:val="left"/>
        <w:rPr/>
      </w:pPr>
      <w:r>
        <w:rPr/>
      </w:r>
    </w:p>
    <w:sectPr>
      <w:type w:val="nextPage"/>
      <w:pgSz w:w="11906" w:h="16838"/>
      <w:pgMar w:left="1701" w:right="850"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1035"/>
        </w:tabs>
        <w:ind w:left="900" w:hanging="0"/>
      </w:pPr>
      <w:rPr>
        <w:rFonts w:ascii="Times New Roman" w:hAnsi="Times New Roman" w:cs="Times New Roman" w:hint="default"/>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85"/>
  <w:defaultTabStop w:val="708"/>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宋体" w:cs="" w:asciiTheme="minorHAnsi" w:cstheme="minorBidi" w:eastAsiaTheme="minorEastAsia" w:hAnsiTheme="minorHAnsi"/>
        <w:szCs w:val="22"/>
        <w:lang w:val="ru-RU" w:eastAsia="zh-CN"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929aa"/>
    <w:pPr>
      <w:widowControl/>
      <w:bidi w:val="0"/>
      <w:spacing w:lineRule="auto" w:line="240" w:before="0" w:after="0"/>
      <w:jc w:val="left"/>
    </w:pPr>
    <w:rPr>
      <w:rFonts w:ascii="Times New Roman" w:hAnsi="Times New Roman" w:eastAsia="Times New Roman" w:cs="Times New Roman"/>
      <w:color w:val="00000A"/>
      <w:sz w:val="24"/>
      <w:szCs w:val="24"/>
      <w:lang w:val="ru-RU" w:eastAsia="ru-RU" w:bidi="ar-SA"/>
    </w:rPr>
  </w:style>
  <w:style w:type="character" w:styleId="DefaultParagraphFont" w:default="1">
    <w:name w:val="Default Paragraph Font"/>
    <w:uiPriority w:val="1"/>
    <w:semiHidden/>
    <w:unhideWhenUsed/>
    <w:qFormat/>
    <w:rPr/>
  </w:style>
  <w:style w:type="character" w:styleId="Style14" w:customStyle="1">
    <w:name w:val="Без интервала Знак"/>
    <w:link w:val="a3"/>
    <w:uiPriority w:val="1"/>
    <w:qFormat/>
    <w:rsid w:val="00e929aa"/>
    <w:rPr>
      <w:rFonts w:ascii="Calibri" w:hAnsi="Calibri" w:eastAsia="Times New Roman" w:cs="Calibri"/>
      <w:lang w:eastAsia="ru-RU"/>
    </w:rPr>
  </w:style>
  <w:style w:type="character" w:styleId="ListLabel1">
    <w:name w:val="ListLabel 1"/>
    <w:qFormat/>
    <w:rPr>
      <w:rFonts w:cs="Times New Roman"/>
    </w:rPr>
  </w:style>
  <w:style w:type="character" w:styleId="ListLabel2">
    <w:name w:val="ListLabel 2"/>
    <w:qFormat/>
    <w:rPr>
      <w:rFonts w:cs="Symbol"/>
      <w:sz w:val="28"/>
      <w:szCs w:val="24"/>
    </w:rPr>
  </w:style>
  <w:style w:type="character" w:styleId="ListLabel3">
    <w:name w:val="ListLabel 3"/>
    <w:qFormat/>
    <w:rPr>
      <w:rFonts w:cs="Times New Roman"/>
    </w:rPr>
  </w:style>
  <w:style w:type="character" w:styleId="ListLabel4">
    <w:name w:val="ListLabel 4"/>
    <w:qFormat/>
    <w:rPr>
      <w:rFonts w:cs="Symbol"/>
      <w:sz w:val="28"/>
      <w:szCs w:val="24"/>
    </w:rPr>
  </w:style>
  <w:style w:type="character" w:styleId="ListLabel5">
    <w:name w:val="ListLabel 5"/>
    <w:qFormat/>
    <w:rPr>
      <w:rFonts w:cs="Times New Roman"/>
    </w:rPr>
  </w:style>
  <w:style w:type="character" w:styleId="ListLabel6">
    <w:name w:val="ListLabel 6"/>
    <w:qFormat/>
    <w:rPr>
      <w:rFonts w:cs="Symbol"/>
      <w:sz w:val="28"/>
      <w:szCs w:val="24"/>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cs="Times New Roman"/>
    </w:rPr>
  </w:style>
  <w:style w:type="paragraph" w:styleId="Style15">
    <w:name w:val="Заголовок"/>
    <w:basedOn w:val="Normal"/>
    <w:next w:val="Style16"/>
    <w:qFormat/>
    <w:pPr>
      <w:keepNext/>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NoSpacing">
    <w:name w:val="No Spacing"/>
    <w:link w:val="a4"/>
    <w:uiPriority w:val="1"/>
    <w:qFormat/>
    <w:rsid w:val="00e929aa"/>
    <w:pPr>
      <w:widowControl/>
      <w:bidi w:val="0"/>
      <w:spacing w:lineRule="auto" w:line="240" w:before="0" w:after="0"/>
      <w:jc w:val="left"/>
    </w:pPr>
    <w:rPr>
      <w:rFonts w:ascii="Calibri" w:hAnsi="Calibri" w:eastAsia="Times New Roman" w:cs="Calibri" w:asciiTheme="minorHAnsi" w:hAnsiTheme="minorHAnsi"/>
      <w:color w:val="00000A"/>
      <w:sz w:val="24"/>
      <w:szCs w:val="22"/>
      <w:lang w:val="ru-RU" w:eastAsia="ru-RU" w:bidi="ar-SA"/>
    </w:rPr>
  </w:style>
  <w:style w:type="paragraph" w:styleId="Standard">
    <w:name w:val="Standard"/>
    <w:qFormat/>
    <w:pPr>
      <w:widowControl w:val="false"/>
      <w:suppressAutoHyphens w:val="true"/>
      <w:bidi w:val="0"/>
      <w:jc w:val="left"/>
      <w:textAlignment w:val="baseline"/>
    </w:pPr>
    <w:rPr>
      <w:rFonts w:ascii="Calibri" w:hAnsi="Calibri" w:eastAsia="Segoe UI" w:cs="Tahoma"/>
      <w:color w:val="000000"/>
      <w:sz w:val="24"/>
      <w:szCs w:val="24"/>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Application>LibreOffice/5.3.0.3$Windows_X86_64 LibreOffice_project/7074905676c47b82bbcfbea1aeefc84afe1c50e1</Application>
  <Pages>5</Pages>
  <Words>1146</Words>
  <Characters>8836</Characters>
  <CharactersWithSpaces>10219</CharactersWithSpaces>
  <Paragraphs>91</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2019-06-18T06:59:00Z</dcterms:created>
  <dc:creator>1</dc:creator>
  <dc:description/>
  <dc:language>ru-RU</dc:language>
  <cp:lastModifiedBy/>
  <cp:lastPrinted>2019-07-10T14:59:43Z</cp:lastPrinted>
  <dcterms:modified xsi:type="dcterms:W3CDTF">2019-07-16T16:16:48Z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