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>
          <w:rFonts w:ascii="Times New Roman" w:hAnsi="Times New Roman"/>
          <w:b/>
          <w:b/>
          <w:bCs/>
          <w:sz w:val="30"/>
          <w:szCs w:val="30"/>
        </w:rPr>
      </w:pPr>
      <w:r>
        <w:rPr/>
        <w:drawing>
          <wp:inline distT="0" distB="0" distL="0" distR="0">
            <wp:extent cx="655955" cy="84518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20" t="-173" r="-220" b="-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Spacing"/>
        <w:jc w:val="center"/>
        <w:rPr/>
      </w:pPr>
      <w:r>
        <w:rPr/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СОВЕТ ДЕПУТАТОВ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МУНИЦИПАЛЬНОГО ОБРАЗОВАНИЯ ЗАЛЕСОВСКИЙ СЕЛЬСОВЕТ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КРАСНОГВАРДЕЙСКОГО РАЙОНА ОРЕНБУРГСКОЙ ОБЛАСТИ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четвертого созыва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bCs/>
          <w:sz w:val="26"/>
          <w:szCs w:val="26"/>
        </w:rPr>
        <w:t>РЕШЕНИЕ</w:t>
      </w:r>
    </w:p>
    <w:p>
      <w:pPr>
        <w:pStyle w:val="NoSpacing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29.12.2022                                                                                                       № 23/1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с. Залесово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О бюджете муниципального образования Залесовский сельсовет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Красногвардейского района Оренбургской области на 2023 год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и на плановый период 2024 и 2025 годов</w:t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соответствии с БК РФ, ФЗ № 131-ФЗ «Об общих принципах организации местного самоуправления в Российской Федерации от 06.10.2003г.», Положением «О бюджетном процессе муниципального образования Залесовский сельсовет Красногвардейского района Оренбургской области», утвержденным решением Совета депутатов муниципального образования Залесовский сельсовет от 21.12.2021 № 13/2,   Уставом муниципального образования Залесовский сельсовет, Совет депутатов решил: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Утвердить бюджет муниципального образования Залесовский сельсовет Красногвардейского района Оренбургской области на 2023 год и на плановый период 2024 и 2025 годы согласно приложению.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Установить, что настоящее решение вступает в силу с 01 января 2023 года и подлежит обнародованию путем размещения на информационных стендах в установленном порядке.  </w:t>
      </w:r>
    </w:p>
    <w:p>
      <w:pPr>
        <w:pStyle w:val="NoSpacing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 Возложить контроль за исполнением настоящего решения на постоянную комиссию по вопросам финансово - экономического развития и сельскому хозяйству.</w:t>
      </w:r>
    </w:p>
    <w:p>
      <w:pPr>
        <w:pStyle w:val="NoSpacing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</w:t>
      </w:r>
    </w:p>
    <w:p>
      <w:pPr>
        <w:pStyle w:val="Style2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Совета депутатов                                                                                     В.А.Быков</w:t>
      </w:r>
    </w:p>
    <w:p>
      <w:pPr>
        <w:pStyle w:val="Style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20"/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Глава сельсовета                                                                               Н.Ф.Пастухова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/>
      </w:pPr>
      <w:r>
        <w:rPr>
          <w:rFonts w:cs="Times New Roman" w:ascii="Times New Roman" w:hAnsi="Times New Roman"/>
        </w:rPr>
        <w:t xml:space="preserve">Разослано: в дело, администрации района, финансовому отделу администрации района, постоянной комиссии по вопросам финансово-экономического развития и сельскому хозяйству, </w:t>
      </w:r>
      <w:r>
        <w:rPr>
          <w:rFonts w:cs="Times New Roman" w:ascii="Times New Roman" w:hAnsi="Times New Roman"/>
          <w:highlight w:val="white"/>
        </w:rPr>
        <w:t>МКУ «Центр бюджетного учета и отчетности»</w:t>
      </w:r>
      <w:r>
        <w:rPr>
          <w:rFonts w:cs="Times New Roman" w:ascii="Times New Roman" w:hAnsi="Times New Roman"/>
        </w:rPr>
        <w:t>, прокурору района, информационные стенды- 3 экз.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>
      <w:pPr>
        <w:pStyle w:val="Normal"/>
        <w:tabs>
          <w:tab w:val="left" w:pos="0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Совета депутатов</w:t>
      </w:r>
    </w:p>
    <w:p>
      <w:pPr>
        <w:pStyle w:val="Normal"/>
        <w:tabs>
          <w:tab w:val="left" w:pos="0" w:leader="none"/>
          <w:tab w:val="left" w:pos="5235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Залесовский сельсовет    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от 29.12.2022 № 23/1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right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Бюджет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муниципального образования Залесовский сельсовет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Красногвардейского района Оренбургской области на 2023 год 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и на плановый период 2024 и 2025 годы</w:t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tabs>
          <w:tab w:val="left" w:pos="5235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Статья 1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 Залесовский сельсовет (далее - бюджет поселения) на 2023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5323,7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 поселения – в сумме  5323,7тыс.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3) прогнозируемый дефицит бюджета поселения - в сумме 0,0 тыс. рублей или 0,0 %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2024 года – в сумме 0,0 тыс. рублей, в том числе верхний предел долга по муниципальным гарантиям – в сумме 0,0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Утвердить основные характеристики бюджета муниципального образования  Залесовский сельсовет (далее - бюджет поселения) на 2024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5280,0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 поселения – в сумме  5280,0 тыс. рублей, в том числе условно - утвержденные расходы в сумме 114,6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3) прогнозируемый дефицит бюджета поселения - в сумме 0,0 тыс. рублей или 0,0%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2025 года – в сумме 0,0 тыс. рублей, в том числе верхний предел долга по муниципальным гарантиям – в сумме 0,0 тыс. рублей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 Утвердить основные характеристики бюджета муниципального образования  Залесовский сельсовет (далее - бюджет поселения) на 2025 год: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прогнозируемый общий объем доходов бюджета поселения – в сумме 5855,0 тыс. рублей;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общий объем расходов бюджета поселения – в сумме 5855,0 тыс. рублей, в том числе условно - утвержденные расходы в размере 285,8 тыс. руб.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3) прогнозируемый дефицит бюджета поселения - в сумме 0,0 тыс. рублей или 0,0%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4) верхний предел муниципального внутреннего долга муниципального образования Залесовский сельсовет Красногвардейского района Оренбургской области на 1 января 2026 года – в сумме 0,0 тыс.  рублей, в том числе верхний предел долга по муниципальным гарантиям – в сумме   0,0 тыс.  рублей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2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источники внутреннего финансирования дефицита бюджета поселения на 2023 год и плановый период 2024 и 2025 годов согласно приложению 1.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3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Учесть поступление доходов в бюджет поселения по кодам вида доходов, подвидов доходов на 2023 год и на плановый период 2024 и 2025 годов согласно приложению 2.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4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Предоставление в 2023 году и в плановом периоде 2024 и 2025 годов рассрочек и отсрочек по уплате местных налогов и сборов и не налоговых платежей не осуществлять.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5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разделам и подразделам  классификации расходов бюджета поселения на 2023 год и  плановый период 2024 и 2025 годов согласно приложению 3.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6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ведомственную структуру расходов бюджета поселения на 2023 год и плановый период 2024 и 2025 годов согласно приложению 4.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7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классификации расходов на 2023 год и плановый период 2024 и 2025 годов согласно приложению 5.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8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 согласно приложению 6.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9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межбюджетные трансферты,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2023 год и плановый период 2024 и 2025 годов согласно приложению 7.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10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заключение и оплата местными учреждениями и органами местного самоуправления муниципального образования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 исполненных обязательств.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Обязательства, вытекающие из договоров, исполнение которых осуществляется за счет средств 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бюджета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Учет обязательств, подлежащих исполнению за счет средств бюджета поселения местными учреждениями и органами местного самоуправления муниципального образования, финансируемыми из бюджета поселения на основе смет доходов и расходов, обеспечивается через финансовый отдел администрации района.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бюджета поселения.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бюджета поселения, подлежат признанию недействительными по иску вышестоящей организации или  администрацией сельсовета.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11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Органы местного самоуправления муниципального образования не вправе принимать в 2023 году и в плановом периоде 2024 и 2025 годах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12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исполнение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бюджета поселения и в соответствии с законодательством Российской Федерации и законодательством Оренбургской области.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13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2023 году и в плановом периоде 2024 и 2025 годах, а также сокращающие его доходную базу, реализуются и применяются только при наличии соответствующих источников дополнительных поступлений в бюджет и (или) при сокращении расходов по конкретным статьям бюджета поселения в 2023 году и в плановом периоде 2024 и 2025 годах, а также после внесения соответствующих изменений в настоящее Решение.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случае если реализация правового акта частично (не в полной мере) обеспечена источниками финансирования в бюджете поселения, такой правовой акт реализуется и применяется в пределах средств, предусмотренных на эти цели в  бюджете поселения  на 2023 год и плановый период 2024 и 2025 годах.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14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и условиях определенных правовыми актами администрации сельсовета.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15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Установить, что в 2023 году и плановом периоде 2024 и 2025 годах средства, полученные от оказания платных услуг муниципальными казенными учреждениями, а также полученные ими безвозмездные поступления от физических  и юридических лиц, в том числе добровольные пожертвования, в полном объеме зачисляются в доходы местного бюджета.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16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общий объем бюджетных ассигнований на исполнение публичных нормативных обязательств на 2023 год и плановый период 2024 и 2025 годах в сумме 0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17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объем бюджетных ассигнований дорожного фонда муниципального образования Залесовский сельсовет на 2023 год в размере 725,8 тыс. рублей, на 2024 год – в сумме  763,9 тыс. рублей, на 2025 год – в сумме 810,5 тыс. рублей.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18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Статья 19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Утвердить программу муниципальных внутренних заимствований на 2023 год и  плановый период 2024 и 2025 годов согласно приложению 9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Статья 20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В соответствии с ч. 4 ст. 27 Положения о бюджетном процессе в муниципальном образовании Залесовский сельсовет Красногвардейского района Оренбургской области, утвержденного решением Совета депутатов муниципального образования Залесовский сельсовет Красногвардейского района Оренбургской области от 21.12.2021 года № 13/2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 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перераспределение бюджетных ассигнований между направлениями расходов, видами расходов в пределах общего объема бюджетных ассигнований по целевой статье расходов классификации расходов бюджетов;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Залесовский сельсовет Красногвардейского района Оренбургской области от 25.09.2020 года № 2/6 «О муниципальном дорожном фонде муниципального образования Залесовский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Изменения, внесенные в сводную бюджетную роспись по основаниям, установленным настоящей статьей, учитываются при последующем внесении изменений в решение о бюджете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eastAsia="Times New Roman" w:cs="Calibri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перераспределение бюджетных ассигнований между разделами, подразделами, целевыми статьями,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видами расходов на повышение оплаты труда работников, а также для обеспечения участия  в проектах с долевой финансирования из областного и районного бюджетов;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перераспределение бюджетных ассигнований между кодами разделов и подразделов ,целевыми статьями расходов, видами расходов, за счет свободных средств не имеющих бюджетных обязательств в целях исполнения обязательств бюджета муниципального образования.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Calibri" w:ascii="Times New Roman" w:hAnsi="Times New Roman"/>
          <w:b/>
          <w:bCs/>
          <w:color w:val="000000"/>
          <w:sz w:val="24"/>
          <w:szCs w:val="24"/>
          <w:lang w:eastAsia="ru-RU"/>
        </w:rPr>
        <w:t>Статья 21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  <w:t>Утвердить основные параметры первоочередных расходов за счет местного бюджета отнесенных к полномочиям органов местного самоуправления на 2023 год согласно приложения №10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Calibri"/>
          <w:color w:val="000000"/>
          <w:sz w:val="24"/>
          <w:szCs w:val="24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№1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2022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2023 и 2024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Источники внутреннего финансирования дефицита бюджета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поселения на 2023 год  и плановый период 2024 и 2025 годов</w:t>
      </w:r>
    </w:p>
    <w:p>
      <w:pPr>
        <w:pStyle w:val="Normal"/>
        <w:keepNext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тыс. рублей)</w:t>
      </w:r>
    </w:p>
    <w:tbl>
      <w:tblPr>
        <w:tblW w:w="9337" w:type="dxa"/>
        <w:jc w:val="left"/>
        <w:tblInd w:w="11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59"/>
        <w:gridCol w:w="2795"/>
        <w:gridCol w:w="967"/>
        <w:gridCol w:w="964"/>
        <w:gridCol w:w="952"/>
      </w:tblGrid>
      <w:tr>
        <w:trPr>
          <w:trHeight w:val="492" w:hRule="atLeast"/>
        </w:trPr>
        <w:tc>
          <w:tcPr>
            <w:tcW w:w="36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79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  <w:t>Код источников финансирования по бюджетной классификации</w:t>
            </w:r>
          </w:p>
        </w:tc>
        <w:tc>
          <w:tcPr>
            <w:tcW w:w="2883" w:type="dxa"/>
            <w:gridSpan w:val="3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</w:tr>
      <w:tr>
        <w:trPr>
          <w:trHeight w:val="600" w:hRule="atLeast"/>
        </w:trPr>
        <w:tc>
          <w:tcPr>
            <w:tcW w:w="365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279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      2023 год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2024 год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 2025 год</w:t>
            </w:r>
          </w:p>
        </w:tc>
      </w:tr>
      <w:tr>
        <w:trPr>
          <w:trHeight w:val="288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792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</w:tr>
      <w:tr>
        <w:trPr>
          <w:trHeight w:val="579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390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-5323,7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-5280,0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-5855</w:t>
            </w:r>
          </w:p>
        </w:tc>
      </w:tr>
      <w:tr>
        <w:trPr>
          <w:trHeight w:val="324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-5323,7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-5280,0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-5855</w:t>
            </w:r>
          </w:p>
        </w:tc>
      </w:tr>
      <w:tr>
        <w:trPr>
          <w:trHeight w:val="504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-5323,7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-5280,0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-5855</w:t>
            </w:r>
          </w:p>
        </w:tc>
      </w:tr>
      <w:tr>
        <w:trPr>
          <w:trHeight w:val="540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-5323,7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-5280,0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-5855</w:t>
            </w:r>
          </w:p>
        </w:tc>
      </w:tr>
      <w:tr>
        <w:trPr>
          <w:trHeight w:val="300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5855</w:t>
            </w:r>
          </w:p>
        </w:tc>
      </w:tr>
      <w:tr>
        <w:trPr>
          <w:trHeight w:val="528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5855</w:t>
            </w:r>
          </w:p>
        </w:tc>
      </w:tr>
      <w:tr>
        <w:trPr>
          <w:trHeight w:val="555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5855</w:t>
            </w:r>
          </w:p>
        </w:tc>
      </w:tr>
      <w:tr>
        <w:trPr>
          <w:trHeight w:val="684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5855</w:t>
            </w:r>
          </w:p>
        </w:tc>
      </w:tr>
      <w:tr>
        <w:trPr>
          <w:trHeight w:val="624" w:hRule="atLeast"/>
        </w:trPr>
        <w:tc>
          <w:tcPr>
            <w:tcW w:w="36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Всего источников  финансирования дефицитов бюджетов</w:t>
            </w:r>
          </w:p>
        </w:tc>
        <w:tc>
          <w:tcPr>
            <w:tcW w:w="2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  <w:t>0</w:t>
            </w:r>
          </w:p>
        </w:tc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  <w:t>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Поступление доходов в бюджет поселения по кодам видов доходов,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подвидов доходов на 2023 год и плановый период 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(тыс. рублей)</w:t>
      </w:r>
    </w:p>
    <w:tbl>
      <w:tblPr>
        <w:tblW w:w="9291" w:type="dxa"/>
        <w:jc w:val="left"/>
        <w:tblInd w:w="11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43"/>
        <w:gridCol w:w="3995"/>
        <w:gridCol w:w="938"/>
        <w:gridCol w:w="935"/>
        <w:gridCol w:w="980"/>
      </w:tblGrid>
      <w:tr>
        <w:trPr>
          <w:trHeight w:val="315" w:hRule="atLeast"/>
        </w:trPr>
        <w:tc>
          <w:tcPr>
            <w:tcW w:w="24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9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9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  <w:t>2023 год</w:t>
            </w:r>
          </w:p>
        </w:tc>
        <w:tc>
          <w:tcPr>
            <w:tcW w:w="9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  <w:t>2024 год</w:t>
            </w:r>
          </w:p>
        </w:tc>
        <w:tc>
          <w:tcPr>
            <w:tcW w:w="9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  <w:t>2025 год</w:t>
            </w:r>
          </w:p>
        </w:tc>
      </w:tr>
      <w:tr>
        <w:trPr>
          <w:trHeight w:val="288" w:hRule="atLeast"/>
        </w:trPr>
        <w:tc>
          <w:tcPr>
            <w:tcW w:w="244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99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3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244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399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3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Calibri"/>
                <w:i w:val="false"/>
                <w:i w:val="false"/>
                <w:iCs w:val="false"/>
                <w:color w:val="000000"/>
                <w:lang w:eastAsia="ru-RU"/>
              </w:rPr>
            </w:pPr>
            <w:r>
              <w:rPr>
                <w:rFonts w:eastAsia="Times New Roman" w:cs="Calibri" w:ascii="Times New Roman" w:hAnsi="Times New Roman"/>
                <w:i w:val="false"/>
                <w:iCs w:val="false"/>
                <w:color w:val="00000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405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Calibri" w:ascii="Times New Roman" w:hAnsi="Times New Roman"/>
                <w:b/>
                <w:bCs/>
                <w:i w:val="false"/>
                <w:iCs w:val="false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3169,7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3532,2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3590,9</w:t>
            </w:r>
          </w:p>
        </w:tc>
      </w:tr>
      <w:tr>
        <w:trPr>
          <w:trHeight w:val="315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192,0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204,0</w:t>
            </w:r>
          </w:p>
        </w:tc>
      </w:tr>
      <w:tr>
        <w:trPr>
          <w:trHeight w:val="33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192,0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204,0</w:t>
            </w:r>
          </w:p>
        </w:tc>
      </w:tr>
      <w:tr>
        <w:trPr>
          <w:trHeight w:val="1584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182,0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192,0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204,0</w:t>
            </w:r>
          </w:p>
        </w:tc>
      </w:tr>
      <w:tr>
        <w:trPr>
          <w:trHeight w:val="768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768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1602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343,8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364,4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387,6</w:t>
            </w:r>
          </w:p>
        </w:tc>
      </w:tr>
      <w:tr>
        <w:trPr>
          <w:trHeight w:val="2536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1 03 02231 01 0000 110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,установленным федаральным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343,8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364,4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387,6</w:t>
            </w:r>
          </w:p>
        </w:tc>
      </w:tr>
      <w:tr>
        <w:trPr>
          <w:trHeight w:val="2093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2,6</w:t>
            </w:r>
          </w:p>
        </w:tc>
      </w:tr>
      <w:tr>
        <w:trPr>
          <w:trHeight w:val="3059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2,6</w:t>
            </w:r>
          </w:p>
        </w:tc>
      </w:tr>
      <w:tr>
        <w:trPr>
          <w:trHeight w:val="1873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424,9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444,7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468,0</w:t>
            </w:r>
          </w:p>
        </w:tc>
      </w:tr>
      <w:tr>
        <w:trPr>
          <w:trHeight w:val="2546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1 03 02251 01 0000 110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 ,установленным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424,9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444,7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468,0</w:t>
            </w:r>
          </w:p>
        </w:tc>
      </w:tr>
      <w:tr>
        <w:trPr>
          <w:trHeight w:val="1654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-45,3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-47,7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-47,7</w:t>
            </w:r>
          </w:p>
        </w:tc>
      </w:tr>
      <w:tr>
        <w:trPr>
          <w:trHeight w:val="2605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бюджеты(по нормативам ,установленным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-45,3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-47,7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-47,7</w:t>
            </w:r>
          </w:p>
        </w:tc>
      </w:tr>
      <w:tr>
        <w:trPr>
          <w:trHeight w:val="30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461,9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863,4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863,4</w:t>
            </w:r>
          </w:p>
        </w:tc>
      </w:tr>
      <w:tr>
        <w:trPr>
          <w:trHeight w:val="264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rPr>
          <w:trHeight w:val="105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rPr>
          <w:trHeight w:val="279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451,9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853,4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853,4</w:t>
            </w:r>
          </w:p>
        </w:tc>
      </w:tr>
      <w:tr>
        <w:trPr>
          <w:trHeight w:val="264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100,5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100,5</w:t>
            </w:r>
          </w:p>
        </w:tc>
      </w:tr>
      <w:tr>
        <w:trPr>
          <w:trHeight w:val="78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100,5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100,5</w:t>
            </w:r>
          </w:p>
        </w:tc>
      </w:tr>
      <w:tr>
        <w:trPr>
          <w:trHeight w:val="288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352,4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752,9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752,9</w:t>
            </w:r>
          </w:p>
        </w:tc>
      </w:tr>
      <w:tr>
        <w:trPr>
          <w:trHeight w:val="804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352,4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752,9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752,9</w:t>
            </w:r>
          </w:p>
        </w:tc>
      </w:tr>
      <w:tr>
        <w:trPr>
          <w:trHeight w:val="345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1044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1637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>
        <w:trPr>
          <w:trHeight w:val="78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1710,0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1710,0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1710,0</w:t>
            </w:r>
          </w:p>
        </w:tc>
      </w:tr>
      <w:tr>
        <w:trPr>
          <w:trHeight w:val="2615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1 11 05000 00 0000 120 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 государственного и муниципального имущества(за исключением имущества бюджетных и автономных учреждений  и созданных ими учреждений (за исключением имущества  бюджетных и автономных учреждений,а также имущества государственных и муниципальных унитарных предприятий, том числе казенных)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1710,0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1710,0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1710,0</w:t>
            </w:r>
          </w:p>
        </w:tc>
      </w:tr>
      <w:tr>
        <w:trPr>
          <w:trHeight w:val="1873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1 11 05020 00 0000 120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землю,а также  средства от продажи права на заключение договоров аренды указанных земельных участков(за исключением земельных участков бюджетных и автономных учреждений)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1607,0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1607,0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1607,0</w:t>
            </w:r>
          </w:p>
        </w:tc>
      </w:tr>
      <w:tr>
        <w:trPr>
          <w:trHeight w:val="1639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1607,0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1607,0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1607,0</w:t>
            </w:r>
          </w:p>
        </w:tc>
      </w:tr>
      <w:tr>
        <w:trPr>
          <w:trHeight w:val="1873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103,0</w:t>
            </w:r>
          </w:p>
        </w:tc>
      </w:tr>
      <w:tr>
        <w:trPr>
          <w:trHeight w:val="142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103,0</w:t>
            </w:r>
          </w:p>
        </w:tc>
      </w:tr>
      <w:tr>
        <w:trPr>
          <w:trHeight w:val="336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966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1 16 02000 02 0000 140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1185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1 16 02020 02 0000 140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293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18"/>
                <w:szCs w:val="18"/>
                <w:lang w:eastAsia="ru-RU"/>
              </w:rPr>
              <w:t>ПРОЧИЕ НЕ НАЛОГОВЫЕ ДОХОДЫ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278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Инициативные платежи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71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1 17 15030 10 0000 150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731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1 17 15030 10 0205 150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  "Ремонт водопровода"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87,0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337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2154,0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1747,8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2264,1</w:t>
            </w:r>
          </w:p>
        </w:tc>
      </w:tr>
      <w:tr>
        <w:trPr>
          <w:trHeight w:val="81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2139,0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1732,8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2244,1</w:t>
            </w:r>
          </w:p>
        </w:tc>
      </w:tr>
      <w:tr>
        <w:trPr>
          <w:trHeight w:val="555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1610,5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1598,3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1710,9</w:t>
            </w:r>
          </w:p>
        </w:tc>
      </w:tr>
      <w:tr>
        <w:trPr>
          <w:trHeight w:val="54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2 02 1500100 0000 150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1582,9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1598,3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1704,5</w:t>
            </w:r>
          </w:p>
        </w:tc>
      </w:tr>
      <w:tr>
        <w:trPr>
          <w:trHeight w:val="934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1582,9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1598,3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1704,5</w:t>
            </w:r>
          </w:p>
        </w:tc>
      </w:tr>
      <w:tr>
        <w:trPr>
          <w:trHeight w:val="337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дотации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25,3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7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25,3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966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2 02 16001 00 0000 150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Дотации на  выравнивание бюджетной  обеспеченности из бюджетов муниципальных районов, городских округов с внутригородским делением 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6,4</w:t>
            </w:r>
          </w:p>
        </w:tc>
      </w:tr>
      <w:tr>
        <w:trPr>
          <w:trHeight w:val="732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2 02 16001 10 0000 150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Дотации бюджетам сельских поселений на  выравнивание бюджетной  обеспеченности из бюджетов муниципальных районов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6,4</w:t>
            </w:r>
          </w:p>
        </w:tc>
      </w:tr>
      <w:tr>
        <w:trPr>
          <w:trHeight w:val="746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22272F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393,8</w:t>
            </w:r>
          </w:p>
        </w:tc>
      </w:tr>
      <w:tr>
        <w:trPr>
          <w:trHeight w:val="732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2 02 25576 00 0000 150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393,8</w:t>
            </w:r>
          </w:p>
        </w:tc>
      </w:tr>
      <w:tr>
        <w:trPr>
          <w:trHeight w:val="732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2 02 25576 10 0000 150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393,8</w:t>
            </w:r>
          </w:p>
        </w:tc>
      </w:tr>
      <w:tr>
        <w:trPr>
          <w:trHeight w:val="395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71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субсидии бюджетных сельских поселений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52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97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1200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324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2 07 00000 00 0000 000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Прочие безвозмездные поступления 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>
        <w:trPr>
          <w:trHeight w:val="504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2 07 05000 10 0000 150  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>
        <w:trPr>
          <w:trHeight w:val="533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>
        <w:trPr>
          <w:trHeight w:val="336" w:hRule="atLeast"/>
        </w:trPr>
        <w:tc>
          <w:tcPr>
            <w:tcW w:w="2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5855,0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Приложение № 3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бюджета поселения по разделам и подразделам классификации расходов бюджета поселения на 2023 год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плановый период 2024 и 2025 годов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Calibri"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  <w:t>( тыс. рублей)</w:t>
      </w:r>
    </w:p>
    <w:tbl>
      <w:tblPr>
        <w:tblW w:w="9293" w:type="dxa"/>
        <w:jc w:val="left"/>
        <w:tblInd w:w="11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43"/>
        <w:gridCol w:w="512"/>
        <w:gridCol w:w="616"/>
        <w:gridCol w:w="907"/>
        <w:gridCol w:w="907"/>
        <w:gridCol w:w="907"/>
      </w:tblGrid>
      <w:tr>
        <w:trPr>
          <w:trHeight w:val="255" w:hRule="atLeast"/>
        </w:trPr>
        <w:tc>
          <w:tcPr>
            <w:tcW w:w="54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5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6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9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2023г.</w:t>
            </w:r>
          </w:p>
        </w:tc>
        <w:tc>
          <w:tcPr>
            <w:tcW w:w="9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2024г.</w:t>
            </w:r>
          </w:p>
        </w:tc>
        <w:tc>
          <w:tcPr>
            <w:tcW w:w="9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2025г.</w:t>
            </w:r>
          </w:p>
        </w:tc>
      </w:tr>
      <w:tr>
        <w:trPr>
          <w:trHeight w:val="288" w:hRule="exact"/>
        </w:trPr>
        <w:tc>
          <w:tcPr>
            <w:tcW w:w="544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0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0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0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</w:tr>
      <w:tr>
        <w:trPr>
          <w:trHeight w:val="288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>
        <w:trPr>
          <w:trHeight w:val="288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1638,4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1795,4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1795,4</w:t>
            </w:r>
          </w:p>
        </w:tc>
      </w:tr>
      <w:tr>
        <w:trPr>
          <w:trHeight w:val="525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828" w:hRule="atLeast"/>
        </w:trPr>
        <w:tc>
          <w:tcPr>
            <w:tcW w:w="5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312" w:hRule="atLeast"/>
        </w:trPr>
        <w:tc>
          <w:tcPr>
            <w:tcW w:w="5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324" w:hRule="atLeast"/>
        </w:trPr>
        <w:tc>
          <w:tcPr>
            <w:tcW w:w="5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324" w:hRule="atLeast"/>
        </w:trPr>
        <w:tc>
          <w:tcPr>
            <w:tcW w:w="5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319,0</w:t>
            </w:r>
          </w:p>
        </w:tc>
      </w:tr>
      <w:tr>
        <w:trPr>
          <w:trHeight w:val="480" w:hRule="atLeast"/>
        </w:trPr>
        <w:tc>
          <w:tcPr>
            <w:tcW w:w="5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468" w:hRule="atLeast"/>
        </w:trPr>
        <w:tc>
          <w:tcPr>
            <w:tcW w:w="54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285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852,8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840,9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887,5</w:t>
            </w:r>
          </w:p>
        </w:tc>
      </w:tr>
      <w:tr>
        <w:trPr>
          <w:trHeight w:val="315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300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>
        <w:trPr>
          <w:trHeight w:val="300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1038,5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471,0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471,0</w:t>
            </w:r>
          </w:p>
        </w:tc>
      </w:tr>
      <w:tr>
        <w:trPr>
          <w:trHeight w:val="360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>
        <w:trPr>
          <w:trHeight w:val="339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360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315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504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279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288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285,8</w:t>
            </w:r>
          </w:p>
        </w:tc>
      </w:tr>
      <w:tr>
        <w:trPr>
          <w:trHeight w:val="375" w:hRule="atLeast"/>
        </w:trPr>
        <w:tc>
          <w:tcPr>
            <w:tcW w:w="5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5855,0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4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Ведомственная структура расходов бюджета поселения на 2023 год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плановый период 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(тыс. рублей)</w:t>
      </w:r>
    </w:p>
    <w:tbl>
      <w:tblPr>
        <w:tblW w:w="9351" w:type="dxa"/>
        <w:jc w:val="left"/>
        <w:tblInd w:w="8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05"/>
        <w:gridCol w:w="571"/>
        <w:gridCol w:w="570"/>
        <w:gridCol w:w="513"/>
        <w:gridCol w:w="1756"/>
        <w:gridCol w:w="614"/>
        <w:gridCol w:w="908"/>
        <w:gridCol w:w="907"/>
        <w:gridCol w:w="906"/>
      </w:tblGrid>
      <w:tr>
        <w:trPr>
          <w:trHeight w:val="288" w:hRule="atLeast"/>
        </w:trPr>
        <w:tc>
          <w:tcPr>
            <w:tcW w:w="26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7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5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1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75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72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70" w:hRule="atLeast"/>
        </w:trPr>
        <w:tc>
          <w:tcPr>
            <w:tcW w:w="260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7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1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75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1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>
        <w:trPr>
          <w:trHeight w:val="28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5855,0</w:t>
            </w:r>
          </w:p>
        </w:tc>
      </w:tr>
      <w:tr>
        <w:trPr>
          <w:trHeight w:val="28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1638,4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1795,4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1795,4</w:t>
            </w:r>
          </w:p>
        </w:tc>
      </w:tr>
      <w:tr>
        <w:trPr>
          <w:trHeight w:val="492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69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34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80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31.4.01.10010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49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31.4.01.10010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94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672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32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81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27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51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371,4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371,4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371,4</w:t>
            </w:r>
          </w:p>
        </w:tc>
      </w:tr>
      <w:tr>
        <w:trPr>
          <w:trHeight w:val="52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806,8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806,8</w:t>
            </w:r>
          </w:p>
        </w:tc>
      </w:tr>
      <w:tr>
        <w:trPr>
          <w:trHeight w:val="28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4,4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69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57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81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69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50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126,9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126,9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126,9</w:t>
            </w:r>
          </w:p>
        </w:tc>
      </w:tr>
      <w:tr>
        <w:trPr>
          <w:trHeight w:val="62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12,5</w:t>
            </w:r>
          </w:p>
        </w:tc>
      </w:tr>
      <w:tr>
        <w:trPr>
          <w:trHeight w:val="252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319,0</w:t>
            </w:r>
          </w:p>
        </w:tc>
      </w:tr>
      <w:tr>
        <w:trPr>
          <w:trHeight w:val="552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технологического характера, пожарная безопасность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68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492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66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 «Обеспечение безопасности жизнедеятельности населения в  муниципальном образовании»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74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31.4.03.60080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57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31.4.03.60080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63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72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54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58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  «Обеспечение безопасности жизнедеятельности населения в  муниципальном образовании»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31.4.03.60090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54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31.4.03.60090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40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852,8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840,9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887,5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732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60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99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612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32.4.01.60110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51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32.4.01.60110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31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>
        <w:trPr>
          <w:trHeight w:val="69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>
        <w:trPr>
          <w:trHeight w:val="552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>
        <w:trPr>
          <w:trHeight w:val="118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«Управление муниципальным имуществом,мероприятия по землеустройству и землепользованию в муниципальном образовании»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>
        <w:trPr>
          <w:trHeight w:val="110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Оценка земельных участков комплекс кадастровых работ по подготовке документов для постановки на  государственный кадастровый учетземельных участков, недвижимого учета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31.4.02.60280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>
        <w:trPr>
          <w:trHeight w:val="52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31.4.02.60280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>
        <w:trPr>
          <w:trHeight w:val="120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31.4.02.61070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</w:tr>
      <w:tr>
        <w:trPr>
          <w:trHeight w:val="52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31.4.02.61070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</w:tr>
      <w:tr>
        <w:trPr>
          <w:trHeight w:val="102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31.4.02.61080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52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31.4.02.61080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27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1038,5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471,0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1033,5</w:t>
            </w:r>
          </w:p>
        </w:tc>
      </w:tr>
      <w:tr>
        <w:trPr>
          <w:trHeight w:val="28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>
        <w:trPr>
          <w:trHeight w:val="129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благоустройиства на территории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>
        <w:trPr>
          <w:trHeight w:val="51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>
        <w:trPr>
          <w:trHeight w:val="93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>
        <w:trPr>
          <w:trHeight w:val="52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33.4.01.60150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</w:tr>
      <w:tr>
        <w:trPr>
          <w:trHeight w:val="57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33.4.01.60150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</w:tr>
      <w:tr>
        <w:trPr>
          <w:trHeight w:val="32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33.4.01.60160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33.4.01.60160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33.5.00 0000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567,5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84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Приоритетныый проект"Вовлечение жителей Оренбурскйо области в процессе выбора и реализации пректов развития общественной инфраструктуры,основанных на местных инициативах" 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567,5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волопровода)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33.5.П5.S1405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444,5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33.5.П5.S1405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444,5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Реализация инициативных пректов(Ремонт Водопровода)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33.5.П5.И1405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33.5.П5.И1405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736,5</w:t>
            </w:r>
          </w:p>
        </w:tc>
      </w:tr>
      <w:tr>
        <w:trPr>
          <w:trHeight w:val="126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 и  повышение уровня благоустройства на территории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48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86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"Мероприятия в сфере жилищно-комунальной инфраструктуры и повышение уровня благоустройства  на территории муниципального образования"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62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33.4.01.60200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62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33.4.01.60200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84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программа"Комплексное развитие территории муниципального образования Залесовский сельсовет Красногвардейского района Оренбургской области"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62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62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мероприятий"Комплексное развитие территории муниципального образования"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34.4.01.00000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62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Обеспечение комплексного развития сельских тарриторий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35.4.01.L5760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54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35.4.01.L5760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27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28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70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72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54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28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31.4.04.60210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rPr>
          <w:trHeight w:val="492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31.4.04.60210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rPr>
          <w:trHeight w:val="75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31.4.04.60220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921,2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725,1</w:t>
            </w:r>
          </w:p>
        </w:tc>
      </w:tr>
      <w:tr>
        <w:trPr>
          <w:trHeight w:val="52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31.4.04.60220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921,2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725,1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31.4.04.60230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</w:tr>
      <w:tr>
        <w:trPr>
          <w:trHeight w:val="49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31.4.04.60230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</w:tr>
      <w:tr>
        <w:trPr>
          <w:trHeight w:val="102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31.4.04.61020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31.4.04.61020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</w:tr>
      <w:tr>
        <w:trPr>
          <w:trHeight w:val="45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34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70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44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82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раелизации мунимципальной Программы"Устойчивое развитие территории муниципального образования"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1344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31.4.01.61010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</w:tr>
      <w:tr>
        <w:trPr>
          <w:trHeight w:val="31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31.4.01.61010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</w:tr>
      <w:tr>
        <w:trPr>
          <w:trHeight w:val="1719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31.4.01.61040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31.4.01.61040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>
        <w:trPr>
          <w:trHeight w:val="144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31.4.01.61050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31.4.01.61050</w:t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285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128,7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285,8</w:t>
            </w:r>
          </w:p>
        </w:tc>
      </w:tr>
      <w:tr>
        <w:trPr>
          <w:trHeight w:val="288" w:hRule="atLeast"/>
        </w:trPr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5855,0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5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2023 год и плановый период 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0"/>
          <w:szCs w:val="20"/>
          <w:lang w:eastAsia="ru-RU"/>
        </w:rPr>
        <w:t>(тыс. рублей)</w:t>
      </w:r>
    </w:p>
    <w:tbl>
      <w:tblPr>
        <w:tblW w:w="9351" w:type="dxa"/>
        <w:jc w:val="left"/>
        <w:tblInd w:w="100" w:type="dxa"/>
        <w:tblBorders>
          <w:top w:val="single" w:sz="4" w:space="0" w:color="00000A"/>
          <w:left w:val="single" w:sz="4" w:space="0" w:color="00000A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51"/>
        <w:gridCol w:w="497"/>
        <w:gridCol w:w="512"/>
        <w:gridCol w:w="1654"/>
        <w:gridCol w:w="614"/>
        <w:gridCol w:w="908"/>
        <w:gridCol w:w="907"/>
        <w:gridCol w:w="907"/>
      </w:tblGrid>
      <w:tr>
        <w:trPr>
          <w:trHeight w:val="288" w:hRule="atLeast"/>
        </w:trPr>
        <w:tc>
          <w:tcPr>
            <w:tcW w:w="33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6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7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88" w:hRule="atLeast"/>
        </w:trPr>
        <w:tc>
          <w:tcPr>
            <w:tcW w:w="33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4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1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65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1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>
        <w:trPr>
          <w:trHeight w:val="25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Администрация Залесовского сельсовета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5855,0</w:t>
            </w:r>
          </w:p>
        </w:tc>
      </w:tr>
      <w:tr>
        <w:trPr>
          <w:trHeight w:val="27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1638,4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1795,4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1795,4</w:t>
            </w:r>
          </w:p>
        </w:tc>
      </w:tr>
      <w:tr>
        <w:trPr>
          <w:trHeight w:val="564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69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96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99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28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51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8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744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93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84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48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371,4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371,4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371,4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806,8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806,8</w:t>
            </w:r>
          </w:p>
        </w:tc>
      </w:tr>
      <w:tr>
        <w:trPr>
          <w:trHeight w:val="28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31.4.01.10020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4,4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28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69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72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мероприятий"Обеспечение реализации муниципальной Программы"Устойчивое развитие территорий муниципального образования"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672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 органами местного самоуправления поселений,муниципальных и городских округов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48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126,9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126,9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126,9</w:t>
            </w:r>
          </w:p>
        </w:tc>
      </w:tr>
      <w:tr>
        <w:trPr>
          <w:trHeight w:val="46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31.4.01.51180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12,5</w:t>
            </w:r>
          </w:p>
        </w:tc>
      </w:tr>
      <w:tr>
        <w:trPr>
          <w:trHeight w:val="444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319,0</w:t>
            </w:r>
          </w:p>
        </w:tc>
      </w:tr>
      <w:tr>
        <w:trPr>
          <w:trHeight w:val="480" w:hRule="atLeast"/>
        </w:trPr>
        <w:tc>
          <w:tcPr>
            <w:tcW w:w="3351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 ,пожарная безопасность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70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732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69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 «Обеспечение безопасности жизнедеятельности населения в  муниципальном образовании»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48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51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48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732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72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63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  «Обеспечение безопасности жизнедеятельности населения в  муниципальном образовании»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48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31.4.03.60090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31.4.03.60090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840,9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887,5</w:t>
            </w:r>
          </w:p>
        </w:tc>
      </w:tr>
      <w:tr>
        <w:trPr>
          <w:trHeight w:val="30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564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образования»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372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78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"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63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32.4.01.60110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54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32.4.01.60110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>
        <w:trPr>
          <w:trHeight w:val="552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»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FF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FF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>
        <w:trPr>
          <w:trHeight w:val="45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>
        <w:trPr>
          <w:trHeight w:val="864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«Управление муниципальным имуществом,мероприятия по землеустройству и землепользованию в муниципальном образовании»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>
        <w:trPr>
          <w:trHeight w:val="93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Оценка земельных участков комплекс кадастровых работ по подготовке документов для постановки на  государственный кадастровый учетземельных участков, недвижимого учета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31.4.02.60280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>
        <w:trPr>
          <w:trHeight w:val="5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31.4.02.60280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>
        <w:trPr>
          <w:trHeight w:val="1224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31.4.02.61070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</w:tr>
      <w:tr>
        <w:trPr>
          <w:trHeight w:val="504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31.4.02.61070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</w:tr>
      <w:tr>
        <w:trPr>
          <w:trHeight w:val="984" w:hRule="atLeast"/>
        </w:trPr>
        <w:tc>
          <w:tcPr>
            <w:tcW w:w="3351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444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31.4.02.61080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27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471,0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1033,5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>
        <w:trPr>
          <w:trHeight w:val="93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>
        <w:trPr>
          <w:trHeight w:val="48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>
        <w:trPr>
          <w:trHeight w:val="82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>
        <w:trPr>
          <w:trHeight w:val="492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33.4.01.60160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33.5.00 0000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567,5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Приоритетный проект"Вовлечение жителей Оренбургской области в процессе выбора и реализации проектов развития общественной инфраструктуры, основанных на местных инициативах" 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33.5.П5.0000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567,5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водопровода)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33.5.П5.S1405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33.5.П5.S1405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444,5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Водопровода)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33.5.П5.И1405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33.5.П5.И1405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21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736,5</w:t>
            </w:r>
          </w:p>
        </w:tc>
      </w:tr>
      <w:tr>
        <w:trPr>
          <w:trHeight w:val="912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432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804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"Мероприятия в сфере жилищно-комунальной инфраструктуры и повышение уровня благоустройства  на территории муниципального образования"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46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33.4.01.60200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33.4.01.60200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программа"Комплексное развитие территории муниципального образования Залесовский сельсовет Красногвардейского района Оренбургской области"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мероприятий"Комплексное развитие территории муниципального образования"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34.4.01.00000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Обеспечение комплексного развития сельских тарриторий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35.4.01.L5760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35.4.01.L5760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30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732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46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69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36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rPr>
          <w:trHeight w:val="46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rPr>
          <w:trHeight w:val="76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921,2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725,1</w:t>
            </w:r>
          </w:p>
        </w:tc>
      </w:tr>
      <w:tr>
        <w:trPr>
          <w:trHeight w:val="51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921,2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725,1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31.4.04.60230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</w:tr>
      <w:tr>
        <w:trPr>
          <w:trHeight w:val="52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31.4.04.60230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</w:tr>
      <w:tr>
        <w:trPr>
          <w:trHeight w:val="94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31.4.04.61020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</w:tr>
      <w:tr>
        <w:trPr>
          <w:trHeight w:val="34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31.4.04.61020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</w:tr>
      <w:tr>
        <w:trPr>
          <w:trHeight w:val="459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312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72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94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51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раелизации мунимципальной Программы"Устойчивое развитие территории муниципального образования"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31.4.01.00000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381,8</w:t>
            </w:r>
          </w:p>
        </w:tc>
      </w:tr>
      <w:tr>
        <w:trPr>
          <w:trHeight w:val="96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</w:tr>
      <w:tr>
        <w:trPr>
          <w:trHeight w:val="31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31.4.01.61010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</w:tr>
      <w:tr>
        <w:trPr>
          <w:trHeight w:val="144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31.4.01.61040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>
        <w:trPr>
          <w:trHeight w:val="30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31.4.01.61040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>
        <w:trPr>
          <w:trHeight w:val="144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31.4.01.61050</w:t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285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285,8</w:t>
            </w:r>
          </w:p>
        </w:tc>
      </w:tr>
      <w:tr>
        <w:trPr>
          <w:trHeight w:val="288" w:hRule="atLeast"/>
        </w:trPr>
        <w:tc>
          <w:tcPr>
            <w:tcW w:w="33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5855,0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6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бюджета поселения по целевым статьям(муниципальным программам и не программным направлениям деятельности), разделам, подразделам, группам и подгруппам видов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расходов классификации расходов на 2023 год и на плановый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период 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Calibri"/>
          <w:color w:val="000000"/>
          <w:sz w:val="24"/>
          <w:szCs w:val="24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Calibri" w:ascii="Times New Roman" w:hAnsi="Times New Roman"/>
          <w:color w:val="000000"/>
          <w:sz w:val="24"/>
          <w:szCs w:val="24"/>
          <w:lang w:eastAsia="ru-RU"/>
        </w:rPr>
        <w:t>(тысяч рублей)</w:t>
      </w:r>
    </w:p>
    <w:tbl>
      <w:tblPr>
        <w:tblW w:w="9351" w:type="dxa"/>
        <w:jc w:val="left"/>
        <w:tblInd w:w="11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71"/>
        <w:gridCol w:w="1361"/>
        <w:gridCol w:w="512"/>
        <w:gridCol w:w="497"/>
        <w:gridCol w:w="630"/>
        <w:gridCol w:w="907"/>
        <w:gridCol w:w="907"/>
        <w:gridCol w:w="965"/>
      </w:tblGrid>
      <w:tr>
        <w:trPr>
          <w:trHeight w:val="28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>
        <w:trPr>
          <w:trHeight w:val="28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>
        <w:trPr>
          <w:trHeight w:val="984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3559,4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3916,4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3725,2</w:t>
            </w:r>
          </w:p>
        </w:tc>
      </w:tr>
      <w:tr>
        <w:trPr>
          <w:trHeight w:val="552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2275,7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2388,7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2393,6</w:t>
            </w:r>
          </w:p>
        </w:tc>
      </w:tr>
      <w:tr>
        <w:trPr>
          <w:trHeight w:val="852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реализации муниципальной парограммы Устойчивое развитие территории муниципального образования"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2275,7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2388,7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2393,6</w:t>
            </w:r>
          </w:p>
        </w:tc>
      </w:tr>
      <w:tr>
        <w:trPr>
          <w:trHeight w:val="4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585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612,8</w:t>
            </w:r>
          </w:p>
        </w:tc>
      </w:tr>
      <w:tr>
        <w:trPr>
          <w:trHeight w:val="585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1182,6</w:t>
            </w:r>
          </w:p>
        </w:tc>
      </w:tr>
      <w:tr>
        <w:trPr>
          <w:trHeight w:val="525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371,4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371,4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371,4</w:t>
            </w:r>
          </w:p>
        </w:tc>
      </w:tr>
      <w:tr>
        <w:trPr>
          <w:trHeight w:val="504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649,8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806,8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806,8</w:t>
            </w:r>
          </w:p>
        </w:tc>
      </w:tr>
      <w:tr>
        <w:trPr>
          <w:trHeight w:val="315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4,4</w:t>
            </w:r>
          </w:p>
        </w:tc>
      </w:tr>
      <w:tr>
        <w:trPr>
          <w:trHeight w:val="84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самоупраления поселений, муниципальных и городских округов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>
        <w:trPr>
          <w:trHeight w:val="504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Расходы на выплату персоналу государственных (муниципальных) оргапнов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126,9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126,9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126,9</w:t>
            </w:r>
          </w:p>
        </w:tc>
      </w:tr>
      <w:tr>
        <w:trPr>
          <w:trHeight w:val="492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12,5</w:t>
            </w:r>
          </w:p>
        </w:tc>
      </w:tr>
      <w:tr>
        <w:trPr>
          <w:trHeight w:val="1212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</w:tr>
      <w:tr>
        <w:trPr>
          <w:trHeight w:val="315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8,5</w:t>
            </w:r>
          </w:p>
        </w:tc>
      </w:tr>
      <w:tr>
        <w:trPr>
          <w:trHeight w:val="19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>
        <w:trPr>
          <w:trHeight w:val="30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>
        <w:trPr>
          <w:trHeight w:val="1944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30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1044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Комплексы процесных мероприятий"Управление муниципальным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муществом, мероприятия по землеустройству и землепользованию в муниципальном образовании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127,0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>
        <w:trPr>
          <w:trHeight w:val="999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постановки на кадастровый учет земельных участков, не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вижимого имущества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31402060280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>
        <w:trPr>
          <w:trHeight w:val="58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31402060280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>
        <w:trPr>
          <w:trHeight w:val="13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</w:tr>
      <w:tr>
        <w:trPr>
          <w:trHeight w:val="54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26,0</w:t>
            </w:r>
          </w:p>
        </w:tc>
      </w:tr>
      <w:tr>
        <w:trPr>
          <w:trHeight w:val="972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459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94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"Обеспечение безопасности жизнедеятельности населения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308,0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319,0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319,0</w:t>
            </w:r>
          </w:p>
        </w:tc>
      </w:tr>
      <w:tr>
        <w:trPr>
          <w:trHeight w:val="84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52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306,5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317,5</w:t>
            </w:r>
          </w:p>
        </w:tc>
      </w:tr>
      <w:tr>
        <w:trPr>
          <w:trHeight w:val="70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Прочие мероприятия в области национальной безопасности и правоохранительной деятельности 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612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>
        <w:trPr>
          <w:trHeight w:val="744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процесных мероприятий «Развитие культуры в муниципальном образовании"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975,7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1208,7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1012,6</w:t>
            </w:r>
          </w:p>
        </w:tc>
      </w:tr>
      <w:tr>
        <w:trPr>
          <w:trHeight w:val="72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rPr>
          <w:trHeight w:val="51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>
        <w:trPr>
          <w:trHeight w:val="84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культуры(за исключением библиотек, музеев,театров,концертных и других организаций исполнит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 xml:space="preserve">льских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искусств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921,2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725,1</w:t>
            </w:r>
          </w:p>
        </w:tc>
      </w:tr>
      <w:tr>
        <w:trPr>
          <w:trHeight w:val="504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688,2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921,2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725,1</w:t>
            </w:r>
          </w:p>
        </w:tc>
      </w:tr>
      <w:tr>
        <w:trPr>
          <w:trHeight w:val="28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3140460230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</w:tr>
      <w:tr>
        <w:trPr>
          <w:trHeight w:val="624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3140460230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140,4</w:t>
            </w:r>
          </w:p>
        </w:tc>
      </w:tr>
      <w:tr>
        <w:trPr>
          <w:trHeight w:val="124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</w:tr>
      <w:tr>
        <w:trPr>
          <w:trHeight w:val="624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137,1</w:t>
            </w:r>
          </w:p>
        </w:tc>
      </w:tr>
      <w:tr>
        <w:trPr>
          <w:trHeight w:val="1044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Залесовский  сельсовет Красногвардейского района Оренбургской области "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54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1212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"Содержание и ремонт автомобильных дорог общего пользования местного значения в муниципальном образовании Залесовский  сельсовет Красногвардейского района Оренбургской области "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759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автомобильных дорог и инжинерных сооружений на них в границах поселений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759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725,8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763,9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810,5</w:t>
            </w:r>
          </w:p>
        </w:tc>
      </w:tr>
      <w:tr>
        <w:trPr>
          <w:trHeight w:val="106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Залесовский  сельсовет Красногвардейского района Оренбургской области»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471,0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471,0</w:t>
            </w:r>
          </w:p>
        </w:tc>
      </w:tr>
      <w:tr>
        <w:trPr>
          <w:trHeight w:val="28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1038,5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471,0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471,0</w:t>
            </w:r>
          </w:p>
        </w:tc>
      </w:tr>
      <w:tr>
        <w:trPr>
          <w:trHeight w:val="10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"Мероприятия в сфере жилищно-ком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унальной инфраструктуры и повышения уровня благоустройства на территории муниципального образования"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864,5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297,0</w:t>
            </w:r>
          </w:p>
        </w:tc>
      </w:tr>
      <w:tr>
        <w:trPr>
          <w:trHeight w:val="612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</w:tr>
      <w:tr>
        <w:trPr>
          <w:trHeight w:val="519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33,0</w:t>
            </w:r>
          </w:p>
        </w:tc>
      </w:tr>
      <w:tr>
        <w:trPr>
          <w:trHeight w:val="519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Содержание объектов ком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унального хозяйства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264,0</w:t>
            </w:r>
          </w:p>
        </w:tc>
      </w:tr>
      <w:tr>
        <w:trPr>
          <w:trHeight w:val="4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во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д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опровода)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33.5.П5.S1405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33.5.П5.S1405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444,5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 (Ремонт Водопровода)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33.5.П5.И1405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33.5.П5.И1405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>
        <w:trPr>
          <w:trHeight w:val="4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736,5</w:t>
            </w:r>
          </w:p>
        </w:tc>
      </w:tr>
      <w:tr>
        <w:trPr>
          <w:trHeight w:val="48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174,0</w:t>
            </w:r>
          </w:p>
        </w:tc>
      </w:tr>
      <w:tr>
        <w:trPr>
          <w:trHeight w:val="100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территории муниципального образования Залесовский сельсовет Красногвардейского района Оренбургской области "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3500000000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432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3540000000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60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Комплексы процессных мероприятий "Комплексное развитие территорий муниципального образования"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3540100000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600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Обеспечение комплексного развития территорий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35401L5760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519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35401L5760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562,5</w:t>
            </w:r>
          </w:p>
        </w:tc>
      </w:tr>
      <w:tr>
        <w:trPr>
          <w:trHeight w:val="28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128,7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285,8</w:t>
            </w:r>
          </w:p>
        </w:tc>
      </w:tr>
      <w:tr>
        <w:trPr>
          <w:trHeight w:val="288" w:hRule="atLeast"/>
        </w:trPr>
        <w:tc>
          <w:tcPr>
            <w:tcW w:w="3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eastAsia="Times New Roman" w:cs="Times New Roman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5323,7</w:t>
            </w:r>
          </w:p>
        </w:tc>
        <w:tc>
          <w:tcPr>
            <w:tcW w:w="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5280,0</w:t>
            </w:r>
          </w:p>
        </w:tc>
        <w:tc>
          <w:tcPr>
            <w:tcW w:w="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0"/>
                <w:szCs w:val="20"/>
                <w:lang w:eastAsia="ru-RU"/>
              </w:rPr>
              <w:t>5855,0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7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Межбюджетные трансферты,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2023 год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и плановый период 2024 и 2025 годов</w:t>
      </w:r>
    </w:p>
    <w:p>
      <w:pPr>
        <w:pStyle w:val="Normal"/>
        <w:bidi w:val="0"/>
        <w:spacing w:lineRule="auto" w:line="240" w:before="0" w:after="0"/>
        <w:jc w:val="left"/>
        <w:rPr/>
      </w:pPr>
      <w:r>
        <w:rPr/>
      </w:r>
    </w:p>
    <w:tbl>
      <w:tblPr>
        <w:tblW w:w="9363" w:type="dxa"/>
        <w:jc w:val="left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8"/>
        <w:gridCol w:w="6236"/>
        <w:gridCol w:w="908"/>
        <w:gridCol w:w="795"/>
        <w:gridCol w:w="796"/>
      </w:tblGrid>
      <w:tr>
        <w:trPr>
          <w:trHeight w:val="288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>
        <w:trPr>
          <w:trHeight w:val="288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1046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>
        <w:trPr>
          <w:trHeight w:val="1164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8,5</w:t>
            </w:r>
          </w:p>
        </w:tc>
      </w:tr>
      <w:tr>
        <w:trPr>
          <w:trHeight w:val="1872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>
        <w:trPr>
          <w:trHeight w:val="1200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137,1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137,1</w:t>
            </w:r>
          </w:p>
        </w:tc>
      </w:tr>
      <w:tr>
        <w:trPr>
          <w:trHeight w:val="1899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>
        <w:trPr>
          <w:trHeight w:val="1344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</w:tr>
      <w:tr>
        <w:trPr>
          <w:trHeight w:val="288" w:hRule="atLeast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6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545,9</w:t>
            </w:r>
          </w:p>
        </w:tc>
        <w:tc>
          <w:tcPr>
            <w:tcW w:w="7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545,9</w:t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545,9</w:t>
            </w:r>
          </w:p>
        </w:tc>
      </w:tr>
    </w:tbl>
    <w:p>
      <w:pPr>
        <w:pStyle w:val="Normal"/>
        <w:bidi w:val="0"/>
        <w:spacing w:lineRule="auto" w:line="240" w:before="0" w:after="0"/>
        <w:jc w:val="left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8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к бюджету муниципального образования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Залесовский сельсовет на 2023 год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 плановый период 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Расчет </w:t>
      </w:r>
      <w:r>
        <w:rPr>
          <w:rFonts w:ascii="Times New Roman" w:hAnsi="Times New Roman"/>
          <w:sz w:val="24"/>
          <w:szCs w:val="24"/>
          <w:lang w:eastAsia="ar-SA"/>
        </w:rPr>
        <w:t>межбюджетных трансфертов  Администрации муниципального образования Залесовский сельсовет Красногвардейского района Оренбургской области</w:t>
      </w:r>
    </w:p>
    <w:p>
      <w:pPr>
        <w:pStyle w:val="Style24"/>
        <w:shd w:val="clear" w:fill="FFFFFF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/>
          <w:sz w:val="24"/>
          <w:szCs w:val="24"/>
          <w:lang w:eastAsia="ar-SA"/>
        </w:rPr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1.Расчет объема межбюджетных трансфертов в части переданных полномочий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Сi = ((СрЗ/П*Ст1+30,2%)*12 месяцев) + ((МРОТ*Ст2+30,2%)*12 месяцев)  где: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Сi   –   размер межбюджетного трансферта,  передаваемого  поселением  в  бюджет муниципального образования Красногвардейский район Оренбургской области на исполнение переданных полномочий;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СрЗ/П – среднемесячная заработная плата работников учреждений культуры.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СрЗ/П =Ср эк *Пр%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 эк- среднемесячная заработная плата по экономики в Оренбургской области.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 –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области, устанавливаемой соглашением о мерах по обеспечению устойчивого социально-экономического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Ст1 – количество ставок работников культуры;          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МРОТ– минимальный размер оплаты труда;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Ст2 – количество ставок технического (обслуживающего) персонала.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 межбюджетного трансферта устанавливается в тысячах рублей с одним десятичным знаком после запятой.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 эк =39000,0 руб.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Пр%=90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Ст1=0,25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Ст2=0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СрЗ/П=39000,0*90%=35100,0 руб.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Ci</w:t>
      </w:r>
      <w:r>
        <w:rPr>
          <w:rFonts w:cs="Times New Roman" w:ascii="Times New Roman" w:hAnsi="Times New Roman"/>
          <w:sz w:val="24"/>
          <w:szCs w:val="24"/>
        </w:rPr>
        <w:t>=(35100,0*0,25+30,2%)*12=137,1 тыс.руб.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2.Расчет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объема межбюджетных трансфертов в части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переданных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поселения.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i = Мс* 100,0 рублей, где: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Сi   –   размер межбюджетного трансферта,  передаваемого  поселением  в  бюджет муниципального образования Красногвардейский район Оренбургской области на исполнение переданных полномочий;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Мс – численность муниципальных служащих.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Мс = 2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Ci=</w:t>
      </w:r>
      <w:r>
        <w:rPr>
          <w:rFonts w:cs="Times New Roman" w:ascii="Times New Roman" w:hAnsi="Times New Roman"/>
          <w:sz w:val="24"/>
          <w:szCs w:val="24"/>
        </w:rPr>
        <w:t>2*100=200 рублей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3.Расчет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объема межбюджетных трансфертов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части переданных полномочий по осуществлению внешнего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муниципального финансового контроля.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i = ФОТ / Н * Нi + R, где: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Сi – размер межбюджетного трансферта,  передаваемого  поселением  в  бюджет муниципального образования Красногвардейский район Оренбургской области на исполнение переданных полномочий;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 – соответствующее муниципальное поселение;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ФОТ – годовой фонд оплаты труда с учетом начислений на выплаты по оплате труда инспектора Контрольно-счетной палаты; 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 – численность населения района по данным статистического учета на 1 января текущего года;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Нi – численность населения одного поселения по данным статистического учета на 1 января текущего года;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 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расходы на организацию и осуществление деятельности по осуществлению внешнего муниципального финансового контроля из расчета 5%.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 межбюджетного трансферта устанавливается в тысячах рублей с одним десятичным знаком после запятой.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293" w:type="dxa"/>
        <w:jc w:val="left"/>
        <w:tblInd w:w="12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1477"/>
        <w:gridCol w:w="1522"/>
        <w:gridCol w:w="1537"/>
        <w:gridCol w:w="1127"/>
        <w:gridCol w:w="1669"/>
        <w:gridCol w:w="995"/>
        <w:gridCol w:w="965"/>
      </w:tblGrid>
      <w:tr>
        <w:trPr>
          <w:trHeight w:val="885" w:hRule="atLeast"/>
        </w:trPr>
        <w:tc>
          <w:tcPr>
            <w:tcW w:w="1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 w:eastAsia="Andale Sans UI;Arial Unicode MS" w:cs="Tahoma"/>
                <w:sz w:val="24"/>
                <w:szCs w:val="24"/>
                <w:lang w:eastAsia="ja-JP" w:bidi="fa-IR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Наименование муниципального образования</w:t>
            </w:r>
          </w:p>
        </w:tc>
        <w:tc>
          <w:tcPr>
            <w:tcW w:w="1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>численность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 xml:space="preserve"> 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>на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селения района на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 xml:space="preserve"> 01.01.2022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 xml:space="preserve"> (человек)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 xml:space="preserve">численность населения 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Залесовского сельсовета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 xml:space="preserve"> на 01.01.202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2 (человек)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 xml:space="preserve">ФОТ 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 xml:space="preserve">с начислениями 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>инспектора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 xml:space="preserve"> КСП (руб.)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 w:eastAsia="Andale Sans UI;Arial Unicode MS" w:cs="Tahoma"/>
                <w:sz w:val="24"/>
                <w:szCs w:val="24"/>
                <w:lang w:eastAsia="ja-JP" w:bidi="fa-IR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расходы на организацию и осуществление деят-ти внеш. контроля 5% (руб.)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>размер МБТ в 202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3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 xml:space="preserve"> году (руб.)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>размер МБТ в 202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3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 xml:space="preserve"> году (тыс.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 xml:space="preserve"> 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>руб.)</w:t>
            </w:r>
          </w:p>
        </w:tc>
      </w:tr>
      <w:tr>
        <w:trPr>
          <w:trHeight w:val="353" w:hRule="atLeast"/>
        </w:trPr>
        <w:tc>
          <w:tcPr>
            <w:tcW w:w="1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>З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алесо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>вский</w:t>
            </w: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 xml:space="preserve"> сельсовет</w:t>
            </w:r>
          </w:p>
        </w:tc>
        <w:tc>
          <w:tcPr>
            <w:tcW w:w="1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 w:eastAsia="Andale Sans UI;Arial Unicode MS" w:cs="Tahoma"/>
                <w:sz w:val="24"/>
                <w:szCs w:val="24"/>
                <w:lang w:eastAsia="ja-JP" w:bidi="fa-IR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17727</w:t>
            </w:r>
          </w:p>
        </w:tc>
        <w:tc>
          <w:tcPr>
            <w:tcW w:w="1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 w:eastAsia="Andale Sans UI;Arial Unicode MS" w:cs="Tahoma"/>
                <w:sz w:val="24"/>
                <w:szCs w:val="24"/>
                <w:lang w:val="de-DE" w:eastAsia="ja-JP" w:bidi="fa-IR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val="de-DE" w:eastAsia="ja-JP" w:bidi="fa-IR"/>
              </w:rPr>
              <w:t>284</w:t>
            </w:r>
          </w:p>
        </w:tc>
        <w:tc>
          <w:tcPr>
            <w:tcW w:w="1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 w:eastAsia="Andale Sans UI;Arial Unicode MS" w:cs="Tahoma"/>
                <w:sz w:val="24"/>
                <w:szCs w:val="24"/>
                <w:lang w:eastAsia="ja-JP" w:bidi="fa-IR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504000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 w:eastAsia="Andale Sans UI;Arial Unicode MS" w:cs="Tahoma"/>
                <w:sz w:val="24"/>
                <w:szCs w:val="24"/>
                <w:lang w:eastAsia="ja-JP" w:bidi="fa-IR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404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 w:eastAsia="Andale Sans UI;Arial Unicode MS" w:cs="Tahoma"/>
                <w:sz w:val="24"/>
                <w:szCs w:val="24"/>
                <w:lang w:eastAsia="ja-JP" w:bidi="fa-IR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8478</w:t>
            </w:r>
          </w:p>
        </w:tc>
        <w:tc>
          <w:tcPr>
            <w:tcW w:w="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textAlignment w:val="baseline"/>
              <w:rPr>
                <w:rFonts w:ascii="Times New Roman" w:hAnsi="Times New Roman" w:eastAsia="Andale Sans UI;Arial Unicode MS" w:cs="Tahoma"/>
                <w:sz w:val="24"/>
                <w:szCs w:val="24"/>
                <w:lang w:eastAsia="ja-JP" w:bidi="fa-IR"/>
              </w:rPr>
            </w:pPr>
            <w:r>
              <w:rPr>
                <w:rFonts w:eastAsia="Andale Sans UI;Arial Unicode MS" w:cs="Tahoma" w:ascii="Times New Roman" w:hAnsi="Times New Roman"/>
                <w:sz w:val="24"/>
                <w:szCs w:val="24"/>
                <w:lang w:eastAsia="ja-JP" w:bidi="fa-IR"/>
              </w:rPr>
              <w:t>8,5</w:t>
            </w:r>
          </w:p>
        </w:tc>
      </w:tr>
    </w:tbl>
    <w:p>
      <w:pPr>
        <w:pStyle w:val="Style20"/>
        <w:bidi w:val="0"/>
        <w:spacing w:lineRule="auto" w:line="240"/>
        <w:ind w:left="0" w:right="0" w:firstLine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Расчет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объема межбюджетных трансфертов в части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переданных полномочий по составлению проекта бюджета, исполнению бюджета, осуществления контроля за его исполнением, составлению отчета об исполнении бюджета.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i = ФОТ +30,2%+Ri  где: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Сi   –   размер межбюджетного трансферта,  передаваемого  поселением  в  бюджет муниципального образования Красногвардейский район Оренбургской области на исполнение переданных полномочий;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ФОТ – годовой фонд заработной платы бухгалтера МКУ «Центр бюджетного учета и отчетности»;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Ri – расходы на организацию и осуществление деятельности по составлению проекта бюджета, исполнению бюджета, осуществления контроля за его исполнением, составлению отчета об исполнении бюджета из расчета 11% от годового фонда оплаты труда, с учетом начислений на выплаты по оплате труда бухгалтера МКУ «Центр бюджетного учета и отчетности».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ФОТ = 258022,75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Ri</w:t>
      </w:r>
      <w:r>
        <w:rPr>
          <w:rFonts w:cs="Times New Roman" w:ascii="Times New Roman" w:hAnsi="Times New Roman"/>
          <w:sz w:val="24"/>
          <w:szCs w:val="24"/>
        </w:rPr>
        <w:t xml:space="preserve"> = 37000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Ci</w:t>
      </w:r>
      <w:r>
        <w:rPr>
          <w:rFonts w:cs="Times New Roman" w:ascii="Times New Roman" w:hAnsi="Times New Roman"/>
          <w:sz w:val="24"/>
          <w:szCs w:val="24"/>
        </w:rPr>
        <w:t xml:space="preserve"> = 258022,75+30,2%+37000 = 373,1 тыс.руб.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Расчет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объема межбюджетных трансфертов в части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переданных полномочий по развитию системы градорегулирования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в муниципальном образовании</w:t>
      </w:r>
    </w:p>
    <w:p>
      <w:pPr>
        <w:pStyle w:val="Style20"/>
        <w:bidi w:val="0"/>
        <w:spacing w:lineRule="auto" w:line="240"/>
        <w:ind w:left="0"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 i = Ко* 1000,0 рублей, где: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Сi – размер межбюджетного трансферта,  передаваемого  поселением в бюджет муниципального образования Красногвардейский район Оренбургской области на исполнение переданных полномочий;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 – количество исполнительных органов местного самоуправления.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=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Ci = 1*1000.0 = 1000.0</w:t>
      </w:r>
      <w:r>
        <w:rPr>
          <w:rFonts w:cs="Times New Roman" w:ascii="Times New Roman" w:hAnsi="Times New Roman"/>
          <w:sz w:val="24"/>
          <w:szCs w:val="24"/>
        </w:rPr>
        <w:t xml:space="preserve"> рублей.</w:t>
      </w:r>
    </w:p>
    <w:p>
      <w:pPr>
        <w:pStyle w:val="Style20"/>
        <w:bidi w:val="0"/>
        <w:spacing w:lineRule="auto" w:line="240"/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Msonormalmailrucssattributepostfix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6. Расчет объема межбюджетных трансфертов в части</w:t>
      </w:r>
    </w:p>
    <w:p>
      <w:pPr>
        <w:pStyle w:val="Msonormalmailrucssattributepostfix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переданных полномочий по осуществлению муниципального земельного контроля.</w:t>
      </w:r>
    </w:p>
    <w:p>
      <w:pPr>
        <w:pStyle w:val="Msonormalmailrucssattributepostfix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p>
      <w:pPr>
        <w:pStyle w:val="Style24"/>
        <w:shd w:val="clear" w:fill="FFFFFF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полномочий, определяется в рублях Российской Федерации, рассчитывается по формуле:</w:t>
      </w:r>
    </w:p>
    <w:p>
      <w:pPr>
        <w:pStyle w:val="Consplusnonformatmailrucssattributepostfix"/>
        <w:shd w:val="clear" w:fill="FFFFFF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  <w:lang w:val="en-US"/>
        </w:rPr>
        <w:t xml:space="preserve">i </w:t>
      </w:r>
      <w:r>
        <w:rPr>
          <w:color w:val="000000"/>
          <w:sz w:val="24"/>
          <w:szCs w:val="24"/>
        </w:rPr>
        <w:t xml:space="preserve">= </w:t>
      </w:r>
      <w:r>
        <w:rPr>
          <w:color w:val="000000"/>
          <w:sz w:val="24"/>
          <w:szCs w:val="24"/>
          <w:lang w:val="en-US"/>
        </w:rPr>
        <w:t>Srn</w:t>
      </w:r>
      <w:r>
        <w:rPr>
          <w:color w:val="000000"/>
          <w:sz w:val="24"/>
          <w:szCs w:val="24"/>
        </w:rPr>
        <w:t>* K, где:</w:t>
      </w:r>
    </w:p>
    <w:p>
      <w:pPr>
        <w:pStyle w:val="Consplusnormalmailrucssattributepostfix"/>
        <w:shd w:val="clear" w:fill="FFFFFF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>С</w:t>
      </w:r>
      <w:r>
        <w:rPr>
          <w:b/>
          <w:color w:val="000000"/>
          <w:sz w:val="24"/>
          <w:szCs w:val="24"/>
          <w:lang w:val="en-US"/>
        </w:rPr>
        <w:t>i</w:t>
      </w:r>
      <w:r>
        <w:rPr>
          <w:color w:val="000000"/>
          <w:sz w:val="24"/>
          <w:szCs w:val="24"/>
        </w:rPr>
        <w:t xml:space="preserve"> – размер межбюджетного трансферта, передаваемого поселением в </w:t>
      </w:r>
      <w:r>
        <w:rPr>
          <w:sz w:val="24"/>
          <w:szCs w:val="24"/>
        </w:rPr>
        <w:t>бюджет муниципального образования Красногвардейский район Оренбургской области</w:t>
      </w:r>
      <w:r>
        <w:rPr>
          <w:color w:val="000000"/>
          <w:sz w:val="24"/>
          <w:szCs w:val="24"/>
        </w:rPr>
        <w:t xml:space="preserve"> на исполнение переданных полномочий, руб/год;</w:t>
      </w:r>
    </w:p>
    <w:p>
      <w:pPr>
        <w:pStyle w:val="Msonormalmailrucssattributepostfix"/>
        <w:shd w:val="clear" w:fill="FFFFFF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  <w:lang w:val="en-US"/>
        </w:rPr>
        <w:t>Srn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– площадь сельского поселения согласно генплану, га.</w:t>
      </w:r>
    </w:p>
    <w:p>
      <w:pPr>
        <w:pStyle w:val="Msonormalmailrucssattributepostfix"/>
        <w:shd w:val="clear" w:fill="FFFFFF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</w:rPr>
        <w:t>К</w:t>
      </w:r>
      <w:r>
        <w:rPr>
          <w:color w:val="000000"/>
          <w:sz w:val="24"/>
          <w:szCs w:val="24"/>
        </w:rPr>
        <w:t xml:space="preserve">- объем финансирования за 1 га площади; </w:t>
      </w:r>
    </w:p>
    <w:p>
      <w:pPr>
        <w:pStyle w:val="Msonormalmailrucssattributepostfix"/>
        <w:shd w:val="clear" w:fill="FFFFFF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  <w:sz w:val="24"/>
          <w:szCs w:val="24"/>
        </w:rPr>
      </w:pPr>
      <w:r>
        <w:rPr>
          <w:b/>
          <w:color w:val="000000"/>
          <w:sz w:val="24"/>
          <w:szCs w:val="24"/>
          <w:lang w:val="en-US"/>
        </w:rPr>
        <w:t>i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– соответствующее муниципальное поселение;</w:t>
      </w:r>
    </w:p>
    <w:p>
      <w:pPr>
        <w:pStyle w:val="Normal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Размер межбюджетного трансферта устанавливается в тысячах рублей с одним десятичным знаком после запятой.</w:t>
      </w:r>
    </w:p>
    <w:p>
      <w:pPr>
        <w:pStyle w:val="Style20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Srn</w:t>
      </w:r>
      <w:r>
        <w:rPr>
          <w:rFonts w:cs="Times New Roman" w:ascii="Times New Roman" w:hAnsi="Times New Roman"/>
          <w:sz w:val="24"/>
          <w:szCs w:val="24"/>
        </w:rPr>
        <w:t xml:space="preserve"> = 13023</w:t>
      </w:r>
    </w:p>
    <w:p>
      <w:pPr>
        <w:pStyle w:val="Style20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К = 2руб./га</w:t>
      </w:r>
    </w:p>
    <w:p>
      <w:pPr>
        <w:pStyle w:val="Style20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Ci</w:t>
      </w:r>
      <w:r>
        <w:rPr>
          <w:rFonts w:cs="Times New Roman" w:ascii="Times New Roman" w:hAnsi="Times New Roman"/>
          <w:sz w:val="24"/>
          <w:szCs w:val="24"/>
        </w:rPr>
        <w:t xml:space="preserve"> = 13023*2 = 26,0 тыс.руб.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9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 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Программа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муниципальных внутренних заимствований в валюте Российской Федерации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на 2023 год и плановый период 2024 и 2025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Программа муниципальных внутренних заимствований на 2023 год и на плановый период 2024 и 2025 годов предусматривает, при необходимости, покрытие дефицита бюджета поселения за счет привлечения кредитов от других бюджетов бюджетной системы Российской Федерации, кредитных организаций.</w:t>
      </w:r>
    </w:p>
    <w:tbl>
      <w:tblPr>
        <w:tblW w:w="9335" w:type="dxa"/>
        <w:jc w:val="left"/>
        <w:tblInd w:w="5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45"/>
        <w:gridCol w:w="741"/>
        <w:gridCol w:w="739"/>
        <w:gridCol w:w="709"/>
      </w:tblGrid>
      <w:tr>
        <w:trPr>
          <w:trHeight w:val="288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Вид заимствований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>
        <w:trPr>
          <w:trHeight w:val="288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>
        <w:trPr>
          <w:trHeight w:val="600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Муниципальные ценные бумаги, номинированные в валюте Российской Федерации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792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1. Размещение муниципальных ценных бумаг муниципального образования Залесовский сельсовет, номинальная стоимость которых указана в валюте Российской Федерации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780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2. Погашение муниципальных ценных бумаг муниципального образования Залесовский сельсовет, номинальная стоимость которых указана в валюте Российской Федерации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588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1. Получение кредитов от кредитных организаций в валюте Российской Федерации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660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2.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552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588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1. 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1059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1.1. Бюджетные кредиты, предоставленные для частичного покрытия дефицита муниципального образования Залесовский сельсовет, возврат которых осуществляется  муниципальным образованием Залесовский сельсовет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852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Залесовский сельсовет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348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2.Погашение основной суммы долга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749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2.1. Бюджетные кредиты, предоставленные для частичного покрытия дефицита муниципального образования Залесовский сельсовет, возврат которых осуществляется муниципальным образованием Залесовский сельсовет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>
        <w:trPr>
          <w:trHeight w:val="852" w:hRule="atLeast"/>
        </w:trPr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Залесовский сельсовет</w:t>
            </w:r>
          </w:p>
        </w:tc>
        <w:tc>
          <w:tcPr>
            <w:tcW w:w="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Приложение № 10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 бюджету муниципального образования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Залесовский сельсовет</w:t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 2023 год и плановый период 2024 и 2025 годов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Основные параметры </w:t>
      </w:r>
    </w:p>
    <w:p>
      <w:pPr>
        <w:pStyle w:val="Normal"/>
        <w:bidi w:val="0"/>
        <w:spacing w:lineRule="auto" w:line="240" w:before="0" w:after="0"/>
        <w:jc w:val="center"/>
        <w:rPr/>
      </w:pPr>
      <w:r>
        <w:rPr>
          <w:rFonts w:ascii="Times New Roman" w:hAnsi="Times New Roman"/>
          <w:b/>
          <w:sz w:val="24"/>
          <w:szCs w:val="24"/>
        </w:rPr>
        <w:t xml:space="preserve">первоочередных расходов за счет средств местного бюджета, отнесенных к полномочиям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органов местного самоуправления на 2023 год</w:t>
      </w:r>
    </w:p>
    <w:p>
      <w:pPr>
        <w:pStyle w:val="Normal"/>
        <w:bidi w:val="0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(тыс. рублей)</w:t>
      </w:r>
    </w:p>
    <w:tbl>
      <w:tblPr>
        <w:tblW w:w="9321" w:type="dxa"/>
        <w:jc w:val="left"/>
        <w:tblInd w:w="10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84"/>
        <w:gridCol w:w="7428"/>
        <w:gridCol w:w="1209"/>
      </w:tblGrid>
      <w:tr>
        <w:trPr>
          <w:trHeight w:val="138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</w:t>
            </w:r>
          </w:p>
        </w:tc>
      </w:tr>
      <w:tr>
        <w:trPr>
          <w:trHeight w:val="138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981,2</w:t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981,2</w:t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9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1.3.1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9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9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архивов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1.3.2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образования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81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7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служащие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68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работники ОМСУ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8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6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6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Численность, в т.ч.: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36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2.3.1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36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82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архивов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2.3.2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культуры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образования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72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35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муниципальные служащие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68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работники ОМСУ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86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77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77" w:hRule="atLeast"/>
        </w:trPr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3" w:type="dxa"/>
            </w:tcMar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629,</w:t>
            </w:r>
            <w:bookmarkStart w:id="1" w:name="_GoBack1"/>
            <w:bookmarkEnd w:id="1"/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2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53da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ae0522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mailrucssattributepostfix" w:customStyle="1">
    <w:name w:val="consplusnonformat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mailrucssattributepostfix" w:customStyle="1">
    <w:name w:val="consplusnormal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normalmailrucssattributepostfix" w:customStyle="1">
    <w:name w:val="msonormal_mailru_css_attribute_postfix"/>
    <w:basedOn w:val="Normal"/>
    <w:qFormat/>
    <w:rsid w:val="00333b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" w:customStyle="1">
    <w:name w:val="ConsPlusNonformat"/>
    <w:qFormat/>
    <w:rsid w:val="00333b96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rial" w:cs="Courier New"/>
      <w:color w:val="00000A"/>
      <w:sz w:val="20"/>
      <w:szCs w:val="20"/>
      <w:lang w:val="ru-RU" w:eastAsia="ar-SA" w:bidi="ar-SA"/>
    </w:rPr>
  </w:style>
  <w:style w:type="paragraph" w:styleId="ConsPlusNormal" w:customStyle="1">
    <w:name w:val="ConsPlusNormal"/>
    <w:qFormat/>
    <w:rsid w:val="00333b96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Arial" w:cs="Arial"/>
      <w:color w:val="00000A"/>
      <w:sz w:val="20"/>
      <w:szCs w:val="20"/>
      <w:lang w:val="ru-RU" w:eastAsia="ar-SA" w:bidi="ar-SA"/>
    </w:rPr>
  </w:style>
  <w:style w:type="paragraph" w:styleId="NoSpacing">
    <w:name w:val="No Spacing"/>
    <w:uiPriority w:val="1"/>
    <w:qFormat/>
    <w:rsid w:val="00ae0522"/>
    <w:pPr>
      <w:widowControl/>
      <w:bidi w:val="0"/>
      <w:spacing w:lineRule="auto" w:line="240" w:before="0" w:after="0"/>
      <w:jc w:val="left"/>
    </w:pPr>
    <w:rPr>
      <w:rFonts w:ascii="Calibri" w:hAnsi="Calibri" w:eastAsia="" w:cs="" w:eastAsiaTheme="minorEastAsia"/>
      <w:color w:val="00000A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ae052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2"/>
      <w:lang w:val="ru-RU" w:eastAsia="zh-CN" w:bidi="ar-SA"/>
    </w:rPr>
  </w:style>
  <w:style w:type="paragraph" w:styleId="Style21">
    <w:name w:val="Header"/>
    <w:basedOn w:val="Normal"/>
    <w:pPr/>
    <w:rPr/>
  </w:style>
  <w:style w:type="paragraph" w:styleId="Style22">
    <w:name w:val="Содержимое таблицы"/>
    <w:basedOn w:val="Normal"/>
    <w:qFormat/>
    <w:pPr/>
    <w:rPr/>
  </w:style>
  <w:style w:type="paragraph" w:styleId="Style23">
    <w:name w:val="Заголовок таблицы"/>
    <w:basedOn w:val="Style22"/>
    <w:qFormat/>
    <w:pPr/>
    <w:rPr/>
  </w:style>
  <w:style w:type="paragraph" w:styleId="Style2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Application>LibreOffice/5.3.0.3$Windows_X86_64 LibreOffice_project/7074905676c47b82bbcfbea1aeefc84afe1c50e1</Application>
  <Pages>41</Pages>
  <Words>9877</Words>
  <Characters>67419</Characters>
  <CharactersWithSpaces>75193</CharactersWithSpaces>
  <Paragraphs>2999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2019-12-21T18:09:00Z</dcterms:created>
  <dc:creator>МАМА</dc:creator>
  <dc:description/>
  <dc:language>ru-RU</dc:language>
  <cp:lastModifiedBy/>
  <cp:lastPrinted>2022-12-30T14:38:25Z</cp:lastPrinted>
  <dcterms:modified xsi:type="dcterms:W3CDTF">2022-12-30T14:44:10Z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