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drawing>
          <wp:inline distT="0" distB="0" distL="0" distR="0">
            <wp:extent cx="847725" cy="124777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АДМИНИСТРАЦИЯ 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МУНИЦИПАЛЬНОГО ОБРАЗОВАНИЯ  ЗАЛЕСОВСКИЙ СЕЛЬСОВЕТ                                       КРАСНОГВАРДЕЙСКОГО РАЙОНА ОРЕНБУРГСКОЙ ОБЛАСТИ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 О С Т А Н О В Л Е Н И Е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04.04.2014</w:t>
      </w:r>
      <w:r>
        <w:rPr>
          <w:rFonts w:ascii="Times New Roman" w:hAnsi="Times New Roman"/>
          <w:sz w:val="26"/>
          <w:szCs w:val="26"/>
        </w:rPr>
        <w:tab/>
        <w:tab/>
        <w:tab/>
        <w:tab/>
        <w:tab/>
        <w:tab/>
        <w:tab/>
        <w:tab/>
        <w:tab/>
      </w:r>
      <w:r>
        <w:rPr>
          <w:rFonts w:ascii="Times New Roman" w:hAnsi="Times New Roman"/>
          <w:sz w:val="28"/>
          <w:szCs w:val="28"/>
        </w:rPr>
        <w:t xml:space="preserve">                 №   16-п</w:t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с.  Залесово</w:t>
      </w:r>
      <w:r>
        <w:rPr>
          <w:sz w:val="24"/>
          <w:szCs w:val="24"/>
        </w:rPr>
        <w:t xml:space="preserve">  </w:t>
      </w:r>
    </w:p>
    <w:p>
      <w:pPr>
        <w:pStyle w:val="Normal"/>
        <w:tabs>
          <w:tab w:val="right" w:pos="900" w:leader="none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муниципальной программы «Комплексное  развитие систем коммунальной инфраструктуры муниципального образования Залесовский сельсовет Красногвардейского района Оренбургской области на 2014-2024 годы»</w:t>
      </w:r>
    </w:p>
    <w:p>
      <w:pPr>
        <w:pStyle w:val="Normal"/>
        <w:tabs>
          <w:tab w:val="right" w:pos="900" w:leader="none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В соответствии с Уставом муниципального образования Залесовский сельсовет Красногвардейского района Оренбургской области, постановлением администрации района от 02.06.2009 г. № 344-п «Об утверждении порядка принятия решений о разработке долгосрочных целевых программ муниципального образования Красногвардейский район, их формирования, утверждения и реализации»:</w:t>
      </w:r>
    </w:p>
    <w:p>
      <w:pPr>
        <w:pStyle w:val="Normal"/>
        <w:tabs>
          <w:tab w:val="right" w:pos="900" w:leader="none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1.Утвердить муниципальную программу «Комплексное развитие систем коммунальной инфраструктуры муниципального образования Залесовский сельсовет Красногвардейского района Оренбургской области на 2014-2024 годы» согласно приложению. </w:t>
      </w:r>
    </w:p>
    <w:p>
      <w:pPr>
        <w:pStyle w:val="Normal"/>
        <w:tabs>
          <w:tab w:val="right" w:pos="900" w:leader="none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2.Установить, что настоящее постановление вступает в силу со дня его подписания.</w:t>
      </w:r>
    </w:p>
    <w:p>
      <w:pPr>
        <w:pStyle w:val="Normal"/>
        <w:tabs>
          <w:tab w:val="right" w:pos="90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3. Контроль за исполнением настоящего постановления оставляю за собой.</w:t>
      </w:r>
    </w:p>
    <w:p>
      <w:pPr>
        <w:pStyle w:val="Normal"/>
        <w:tabs>
          <w:tab w:val="right" w:pos="90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сельсовета                                                                            Т.И. Синицына   </w:t>
      </w:r>
    </w:p>
    <w:p>
      <w:pPr>
        <w:pStyle w:val="Normal"/>
        <w:tabs>
          <w:tab w:val="right" w:pos="90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right" w:pos="90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Разослано: в дело,  администрации района, отделу архитектуры, финансовому отделу</w:t>
      </w:r>
    </w:p>
    <w:p>
      <w:pPr>
        <w:pStyle w:val="ConsPlusTitle"/>
        <w:widowControl/>
        <w:spacing w:lineRule="atLeast" w:line="200"/>
        <w:ind w:left="6803" w:hanging="0"/>
        <w:jc w:val="right"/>
        <w:rPr>
          <w:rFonts w:ascii="Times New Roman" w:hAnsi="Times New Roman" w:cs="Times New Roman"/>
          <w:b w:val="false"/>
          <w:b w:val="false"/>
          <w:sz w:val="24"/>
          <w:szCs w:val="24"/>
        </w:rPr>
      </w:pPr>
      <w:r>
        <w:rPr>
          <w:rFonts w:cs="Times New Roman" w:ascii="Times New Roman" w:hAnsi="Times New Roman"/>
          <w:b w:val="false"/>
          <w:sz w:val="24"/>
          <w:szCs w:val="24"/>
        </w:rPr>
        <w:t xml:space="preserve">Приложение к </w:t>
      </w:r>
    </w:p>
    <w:p>
      <w:pPr>
        <w:pStyle w:val="ConsPlusTitle"/>
        <w:widowControl/>
        <w:spacing w:lineRule="atLeast" w:line="200"/>
        <w:ind w:left="6803" w:hanging="0"/>
        <w:jc w:val="right"/>
        <w:rPr>
          <w:rFonts w:ascii="Times New Roman" w:hAnsi="Times New Roman" w:cs="Times New Roman"/>
          <w:b w:val="false"/>
          <w:b w:val="false"/>
          <w:sz w:val="24"/>
          <w:szCs w:val="24"/>
        </w:rPr>
      </w:pPr>
      <w:r>
        <w:rPr>
          <w:rFonts w:cs="Times New Roman" w:ascii="Times New Roman" w:hAnsi="Times New Roman"/>
          <w:b w:val="false"/>
          <w:sz w:val="24"/>
          <w:szCs w:val="24"/>
        </w:rPr>
        <w:t>постановлению администрации сельсовета</w:t>
      </w:r>
    </w:p>
    <w:p>
      <w:pPr>
        <w:pStyle w:val="ConsPlusTitle"/>
        <w:widowControl/>
        <w:spacing w:lineRule="atLeast" w:line="200"/>
        <w:ind w:left="6803" w:hanging="0"/>
        <w:jc w:val="right"/>
        <w:rPr>
          <w:rFonts w:ascii="Times New Roman" w:hAnsi="Times New Roman" w:cs="Times New Roman"/>
          <w:b w:val="false"/>
          <w:b w:val="false"/>
          <w:sz w:val="24"/>
          <w:szCs w:val="24"/>
        </w:rPr>
      </w:pPr>
      <w:r>
        <w:rPr>
          <w:rFonts w:cs="Times New Roman" w:ascii="Times New Roman" w:hAnsi="Times New Roman"/>
          <w:b w:val="false"/>
          <w:sz w:val="24"/>
          <w:szCs w:val="24"/>
        </w:rPr>
        <w:t xml:space="preserve"> № </w:t>
      </w:r>
      <w:r>
        <w:rPr>
          <w:rFonts w:cs="Times New Roman" w:ascii="Times New Roman" w:hAnsi="Times New Roman"/>
          <w:b w:val="false"/>
          <w:sz w:val="24"/>
          <w:szCs w:val="24"/>
        </w:rPr>
        <w:t xml:space="preserve">16-п от 04.04.2014 </w:t>
      </w:r>
    </w:p>
    <w:p>
      <w:pPr>
        <w:pStyle w:val="ConsPlusTitle"/>
        <w:widowControl/>
        <w:spacing w:lineRule="atLeast" w:line="200"/>
        <w:ind w:left="6803" w:hanging="0"/>
        <w:jc w:val="right"/>
        <w:rPr>
          <w:rFonts w:ascii="Times New Roman" w:hAnsi="Times New Roman" w:cs="Times New Roman"/>
          <w:b w:val="false"/>
          <w:b w:val="false"/>
          <w:sz w:val="24"/>
          <w:szCs w:val="24"/>
        </w:rPr>
      </w:pPr>
      <w:r>
        <w:rPr>
          <w:rFonts w:cs="Times New Roman" w:ascii="Times New Roman" w:hAnsi="Times New Roman"/>
          <w:b w:val="false"/>
          <w:sz w:val="24"/>
          <w:szCs w:val="24"/>
        </w:rPr>
      </w:r>
    </w:p>
    <w:p>
      <w:pPr>
        <w:pStyle w:val="ConsPlusTitle"/>
        <w:widowControl/>
        <w:spacing w:lineRule="atLeast" w:line="200"/>
        <w:ind w:left="6803"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Title"/>
        <w:widowControl/>
        <w:spacing w:lineRule="atLeast" w:line="200"/>
        <w:ind w:left="6803"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Title"/>
        <w:widowControl/>
        <w:spacing w:lineRule="atLeast" w:line="200"/>
        <w:ind w:left="6803"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Title"/>
        <w:widowControl/>
        <w:spacing w:lineRule="atLeast" w:line="200"/>
        <w:ind w:left="6803"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Title"/>
        <w:widowControl/>
        <w:spacing w:lineRule="atLeast" w:line="200"/>
        <w:ind w:left="6803"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Title"/>
        <w:widowControl/>
        <w:spacing w:lineRule="atLeast" w:line="200"/>
        <w:ind w:left="6803"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Title"/>
        <w:widowControl/>
        <w:spacing w:lineRule="atLeast" w:line="200"/>
        <w:ind w:left="6803"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Title"/>
        <w:widowControl/>
        <w:spacing w:lineRule="atLeast" w:line="200"/>
        <w:ind w:left="6803"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Title"/>
        <w:widowControl/>
        <w:spacing w:lineRule="atLeast" w:line="200"/>
        <w:ind w:left="6803"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Title"/>
        <w:widowControl/>
        <w:spacing w:lineRule="atLeast" w:line="2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ПРОГРАММА</w:t>
      </w:r>
    </w:p>
    <w:p>
      <w:pPr>
        <w:pStyle w:val="ConsPlusTitle"/>
        <w:widowControl/>
        <w:spacing w:lineRule="atLeast" w:line="2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КОМПЛЕКСНОГО РАЗВИТИЯ СИСТЕМ КОММУНАЛЬНОЙ ИНФРАСТРУКТУРЫ ЗАЛЕСОВСКОГО СЕЛЬСОВЕТА</w:t>
      </w:r>
    </w:p>
    <w:p>
      <w:pPr>
        <w:pStyle w:val="ConsPlusTitle"/>
        <w:widowControl/>
        <w:spacing w:lineRule="atLeast" w:line="2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КРАСНОГВАРДЕЙСКОГО РАЙОНА ОРЕНБУРГСКОЙ ОБЛАСТИ </w:t>
      </w:r>
    </w:p>
    <w:p>
      <w:pPr>
        <w:pStyle w:val="ConsPlusTitle"/>
        <w:widowControl/>
        <w:spacing w:lineRule="atLeast" w:line="2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2014- 2024 Г.Г.</w:t>
      </w:r>
    </w:p>
    <w:p>
      <w:pPr>
        <w:pStyle w:val="Normal"/>
        <w:spacing w:lineRule="atLeast" w:line="200"/>
        <w:jc w:val="center"/>
        <w:rPr>
          <w:rFonts w:ascii="Times New Roman" w:hAnsi="Times New Roman"/>
          <w:b/>
          <w:b/>
          <w:i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</w:r>
    </w:p>
    <w:p>
      <w:pPr>
        <w:pStyle w:val="Normal"/>
        <w:spacing w:lineRule="atLeast" w:line="20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tLeast" w:line="20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tLeast" w:line="20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tLeast" w:line="20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tLeast" w:line="20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tLeast" w:line="20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tLeast" w:line="20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tLeast" w:line="20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20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20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20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20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20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20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20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20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20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Залесово</w:t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2014 г.</w:t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Содержание:</w:t>
      </w:r>
    </w:p>
    <w:p>
      <w:pPr>
        <w:pStyle w:val="Normal"/>
        <w:spacing w:lineRule="atLeast" w:line="200" w:before="0" w:after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Паспорт Программы.</w:t>
      </w:r>
    </w:p>
    <w:p>
      <w:pPr>
        <w:pStyle w:val="Normal"/>
        <w:spacing w:lineRule="atLeast" w:line="200" w:before="0" w:after="0"/>
        <w:jc w:val="both"/>
        <w:rPr/>
      </w:pPr>
      <w:r>
        <w:rPr>
          <w:rFonts w:ascii="Times New Roman" w:hAnsi="Times New Roman"/>
          <w:sz w:val="28"/>
          <w:szCs w:val="28"/>
        </w:rPr>
        <w:t>2 Характеристика состояния систем инфраструктуры.</w:t>
      </w:r>
    </w:p>
    <w:p>
      <w:pPr>
        <w:pStyle w:val="Normal"/>
        <w:spacing w:lineRule="atLeast" w:line="200" w:before="0" w:after="0"/>
        <w:jc w:val="both"/>
        <w:rPr/>
      </w:pPr>
      <w:r>
        <w:rPr>
          <w:rFonts w:ascii="Times New Roman" w:hAnsi="Times New Roman"/>
          <w:sz w:val="28"/>
          <w:szCs w:val="28"/>
        </w:rPr>
        <w:t>3. План развития поселения, план прогнозируемой застройки и прогнозируемый спрос на коммунальные ресурсы на период действия генерального плана</w:t>
      </w:r>
    </w:p>
    <w:p>
      <w:pPr>
        <w:pStyle w:val="Normal"/>
        <w:spacing w:lineRule="atLeast" w:line="200" w:before="0" w:after="0"/>
        <w:jc w:val="both"/>
        <w:rPr/>
      </w:pPr>
      <w:r>
        <w:rPr>
          <w:rFonts w:ascii="Times New Roman" w:hAnsi="Times New Roman"/>
          <w:sz w:val="28"/>
          <w:szCs w:val="28"/>
        </w:rPr>
        <w:t>4. Ресурсное обеспечение Программы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Перечень мероприятий Программы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Целевые показатели Программы.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Обоснование Программы.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Сроки реализации Программы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Механизм реализации Программы.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Управление и контроль в процессе реализации Программы.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tLeast" w:line="20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20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20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20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20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20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20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20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20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spacing w:lineRule="atLeast" w:line="20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spacing w:lineRule="atLeast" w:line="20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spacing w:lineRule="atLeast" w:line="20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spacing w:lineRule="atLeast" w:line="20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spacing w:lineRule="atLeast" w:line="20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spacing w:lineRule="atLeast" w:line="20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spacing w:lineRule="atLeast" w:line="20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spacing w:lineRule="atLeast" w:line="20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spacing w:lineRule="atLeast" w:line="20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spacing w:lineRule="atLeast" w:line="20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spacing w:lineRule="atLeast" w:line="20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spacing w:lineRule="atLeast" w:line="20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spacing w:lineRule="atLeast" w:line="20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spacing w:lineRule="atLeast" w:line="20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spacing w:lineRule="atLeast" w:line="200"/>
        <w:rPr>
          <w:rFonts w:ascii="Times New Roman" w:hAnsi="Times New Roman"/>
          <w:b/>
          <w:b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 xml:space="preserve">                  </w:t>
      </w:r>
      <w:r>
        <w:rPr>
          <w:rFonts w:ascii="Times New Roman" w:hAnsi="Times New Roman"/>
          <w:b/>
          <w:sz w:val="44"/>
          <w:szCs w:val="44"/>
        </w:rPr>
        <w:t>ПАСПОРТ ПРОГРАММЫ</w:t>
      </w:r>
    </w:p>
    <w:p>
      <w:pPr>
        <w:pStyle w:val="Style20"/>
        <w:rPr/>
      </w:pPr>
      <w:r>
        <w:rPr/>
      </w:r>
    </w:p>
    <w:tbl>
      <w:tblPr>
        <w:tblpPr w:bottomFromText="0" w:horzAnchor="margin" w:leftFromText="180" w:rightFromText="180" w:tblpX="-290" w:tblpY="-293" w:topFromText="0" w:vertAnchor="text"/>
        <w:tblW w:w="9720" w:type="dxa"/>
        <w:jc w:val="left"/>
        <w:tblInd w:w="6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55" w:type="dxa"/>
          <w:bottom w:w="0" w:type="dxa"/>
          <w:right w:w="70" w:type="dxa"/>
        </w:tblCellMar>
        <w:tblLook w:val="0000"/>
      </w:tblPr>
      <w:tblGrid>
        <w:gridCol w:w="2559"/>
        <w:gridCol w:w="7160"/>
      </w:tblGrid>
      <w:tr>
        <w:trPr>
          <w:trHeight w:val="360" w:hRule="atLeast"/>
        </w:trPr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</w:t>
              <w:br/>
              <w:t xml:space="preserve">Программы   </w:t>
            </w:r>
          </w:p>
        </w:tc>
        <w:tc>
          <w:tcPr>
            <w:tcW w:w="7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Программа комплексного развития систем коммунальной</w:t>
              <w:br/>
              <w:t>инфраструктуры Залесовского  сельсовета Красногвардейского района Оренбургской области</w:t>
            </w:r>
          </w:p>
        </w:tc>
      </w:tr>
      <w:tr>
        <w:trPr>
          <w:trHeight w:val="1320" w:hRule="atLeast"/>
        </w:trPr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Основание для разработки  </w:t>
              <w:br/>
              <w:t xml:space="preserve">Программы   </w:t>
            </w:r>
          </w:p>
        </w:tc>
        <w:tc>
          <w:tcPr>
            <w:tcW w:w="7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Федеральный закон от 06.10.2003г. № 131-ФЗ «Об общих принципах организации местного самоуправления в Российской Федерации».</w:t>
            </w:r>
          </w:p>
          <w:p>
            <w:pPr>
              <w:pStyle w:val="ConsPlusNormal"/>
              <w:widowControl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Федеральный закон от 29.12.2004 N 210-ФЗ "Об основах регулирования тарифов организаций коммунального комплекса".</w:t>
            </w:r>
          </w:p>
          <w:p>
            <w:pPr>
              <w:pStyle w:val="ConsPlusNormal"/>
              <w:widowControl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Федеральный закон "Об электроэнергетике" от 23.03.2003 N 35-ФЗ.</w:t>
            </w:r>
          </w:p>
          <w:p>
            <w:pPr>
              <w:pStyle w:val="ConsPlusNormal"/>
              <w:widowControl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Постановление Правительства РФ "Об утверждении Положения о взаимодействии органов государственной власти субъектов Российской Федерации, осуществляющих регулирование тарифов на товары и услуги организаций коммунального комплекса, с органами местного самоуправления, осуществляющими регулирование тарифов и надбавок организаций коммунального комплекса" от 22.08.2005 N 533     </w:t>
            </w:r>
          </w:p>
          <w:p>
            <w:pPr>
              <w:pStyle w:val="ConsPlusNormal"/>
              <w:widowControl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Постановление Правительства РФ от 13.02.2006 N 83 "Об утверждении Правил определения и предоставления технических условий подключения объекта капитального</w:t>
              <w:br/>
              <w:t xml:space="preserve">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обеспечения" </w:t>
            </w:r>
          </w:p>
        </w:tc>
      </w:tr>
      <w:tr>
        <w:trPr>
          <w:trHeight w:val="720" w:hRule="atLeast"/>
        </w:trPr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Разработчик</w:t>
              <w:br/>
              <w:t xml:space="preserve">Программы   </w:t>
            </w:r>
          </w:p>
        </w:tc>
        <w:tc>
          <w:tcPr>
            <w:tcW w:w="7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МО Залесовский сельсовет Красногвардейского района Оренбургской области</w:t>
            </w:r>
          </w:p>
        </w:tc>
      </w:tr>
      <w:tr>
        <w:trPr>
          <w:trHeight w:val="360" w:hRule="atLeast"/>
        </w:trPr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Заказчик  </w:t>
              <w:br/>
              <w:t xml:space="preserve">Программы   </w:t>
            </w:r>
          </w:p>
        </w:tc>
        <w:tc>
          <w:tcPr>
            <w:tcW w:w="7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МО Залесовский сельсовет Красногвардейского района Оренбургской области</w:t>
            </w:r>
          </w:p>
        </w:tc>
      </w:tr>
      <w:tr>
        <w:trPr>
          <w:trHeight w:val="1200" w:hRule="atLeast"/>
        </w:trPr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Цели и задачи</w:t>
              <w:br/>
              <w:t xml:space="preserve">Программы </w:t>
            </w:r>
          </w:p>
        </w:tc>
        <w:tc>
          <w:tcPr>
            <w:tcW w:w="7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tLeast" w:line="200" w:before="0"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Цель Программы - обеспечение устойчивого функционирования и развития систем коммунального комплекса на территории Залесовского  сельсовета Красногвардейского района Оренбургской области.   </w:t>
            </w:r>
          </w:p>
          <w:p>
            <w:pPr>
              <w:pStyle w:val="Normal"/>
              <w:spacing w:lineRule="atLeast" w:line="200" w:before="0"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Задачи Программы:   1. Создание условий для развития жилищного сектора и осуществления комплексного освоения земельных участков под жилищное строительство, для строительства объектов социального и культурно-бытового назначения, а также создание условий для реализации инвестиционных проектов.                                                 </w:t>
            </w:r>
          </w:p>
          <w:p>
            <w:pPr>
              <w:pStyle w:val="Normal"/>
              <w:spacing w:lineRule="atLeast" w:line="20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Разработка органами местного самоуправления документов территориального планирования.</w:t>
            </w:r>
          </w:p>
          <w:p>
            <w:pPr>
              <w:pStyle w:val="Normal"/>
              <w:spacing w:lineRule="atLeast" w:line="20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 Разработка и утверждение технических заданий на формирование проектов инвестиционных программ строительства новых, реконструкции и комплексного обновления (модернизации) существующих систем коммунальной инфраструктуры;</w:t>
            </w:r>
          </w:p>
          <w:p>
            <w:pPr>
              <w:pStyle w:val="Normal"/>
              <w:spacing w:lineRule="atLeast" w:line="20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 Привлечение кредитных и инвестиционных средств в обеспечение реализации утвержденных инвестиционных и производственных программ;</w:t>
            </w:r>
          </w:p>
          <w:p>
            <w:pPr>
              <w:pStyle w:val="Normal"/>
              <w:spacing w:lineRule="atLeast" w:line="20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 Утверждение надбавок к тарифам на товары и услуги организаций коммунального комплекса и тарифа на подключение к сетям коммунального комплекса.</w:t>
            </w:r>
          </w:p>
          <w:p>
            <w:pPr>
              <w:pStyle w:val="Normal"/>
              <w:spacing w:lineRule="atLeast" w:line="20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Повышение качества, бесперебойности и надежности предоставления коммунальных услуг потребителям, возможность обеспечения наращивания и реконструкции (модернизации) коммунальной инфраструктуры в местах существующей застройки для обеспечения целевых параметров улучшения их состояния и увеличения объемов жилищного строительства. - сокращение количества аварий и отказов в работе оборудования;</w:t>
            </w:r>
          </w:p>
          <w:p>
            <w:pPr>
              <w:pStyle w:val="Normal"/>
              <w:spacing w:lineRule="atLeast" w:line="200" w:before="0"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увеличение пропускной способности сетей;</w:t>
            </w:r>
          </w:p>
          <w:p>
            <w:pPr>
              <w:pStyle w:val="Normal"/>
              <w:spacing w:lineRule="atLeast" w:line="200" w:before="0"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уменьшение потерь в системах коммунальной инфраструктуры;</w:t>
            </w:r>
          </w:p>
          <w:p>
            <w:pPr>
              <w:pStyle w:val="Normal"/>
              <w:spacing w:lineRule="atLeast" w:line="200" w:before="0"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замена морально устаревшего и физически изношенного оборудования;</w:t>
            </w:r>
          </w:p>
          <w:p>
            <w:pPr>
              <w:pStyle w:val="Normal"/>
              <w:spacing w:lineRule="atLeast" w:line="200" w:before="0"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обеспечение возможности подключения к существующим сетям новым застройщикам.</w:t>
            </w:r>
          </w:p>
          <w:p>
            <w:pPr>
              <w:pStyle w:val="Normal"/>
              <w:spacing w:lineRule="atLeast" w:line="20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Создание эффективной системы тарифного регулирования.</w:t>
            </w:r>
          </w:p>
          <w:p>
            <w:pPr>
              <w:pStyle w:val="Normal"/>
              <w:spacing w:lineRule="atLeast" w:line="20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</w:p>
        </w:tc>
      </w:tr>
      <w:tr>
        <w:trPr>
          <w:trHeight w:val="480" w:hRule="atLeast"/>
        </w:trPr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Сроки и этапы реализации  </w:t>
              <w:br/>
              <w:t xml:space="preserve">Программы   </w:t>
            </w:r>
          </w:p>
        </w:tc>
        <w:tc>
          <w:tcPr>
            <w:tcW w:w="7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Срок реализации Программы: 2014 - 2024 гг.  </w:t>
            </w:r>
          </w:p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Этапы реализации программы:                                                                       1 этап- 2014 -2018 гг</w:t>
            </w:r>
          </w:p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замена старого водопровода на новый по ул. Мира от дома №17 до №68, от №23 до скважины и от №7 по ул. Школьной до скважины;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перекладка изношенных  водопроводных сетей и строительство новых участков из современных материалов с закольцовкой тупиковых участков;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  модернизация котельных и ремонт тепловых сетей</w:t>
            </w:r>
          </w:p>
          <w:p>
            <w:pPr>
              <w:pStyle w:val="Normal"/>
              <w:spacing w:lineRule="atLeast" w:line="20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организация локальных очистных сооружений в с. Залесово, включающих проектирование и строительство сборных и отводящих коллекторов, насосных станций и очистных сооружений хозяйственно-бытового стока в селе и проектируемой жилой застройке;</w:t>
            </w:r>
          </w:p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11 этап- 2019-2024 гг</w:t>
            </w:r>
          </w:p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строительство скважин;</w:t>
            </w:r>
          </w:p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строительство водоотводов</w:t>
            </w:r>
          </w:p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</w:t>
            </w:r>
          </w:p>
        </w:tc>
      </w:tr>
      <w:tr>
        <w:trPr>
          <w:trHeight w:val="840" w:hRule="atLeast"/>
        </w:trPr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Основные    </w:t>
              <w:br/>
              <w:t xml:space="preserve">мероприятия </w:t>
              <w:br/>
              <w:t xml:space="preserve">Программы   </w:t>
            </w:r>
          </w:p>
        </w:tc>
        <w:tc>
          <w:tcPr>
            <w:tcW w:w="7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Строительство, модернизация, реконструкция и техническое перевооружение объектов водоснабжения, теплоснабжения, водоотведения с применением энергосберегающего оборудования и на основе новых технологий    </w:t>
            </w:r>
          </w:p>
        </w:tc>
      </w:tr>
      <w:tr>
        <w:trPr>
          <w:trHeight w:val="840" w:hRule="atLeast"/>
        </w:trPr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Объемы требуемых капитальных вложений </w:t>
            </w:r>
          </w:p>
        </w:tc>
        <w:tc>
          <w:tcPr>
            <w:tcW w:w="7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Предполагаемое финансирование в объеме     10,2       тыс.руб., в т.ч.</w:t>
            </w:r>
          </w:p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 2014 г.  -    3,0     тыс.руб.</w:t>
            </w:r>
          </w:p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 2015 г.-      250   тыс.руб.</w:t>
            </w:r>
          </w:p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 2016 г.-      2,8    тыс.руб</w:t>
            </w:r>
          </w:p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 2017 г. -     1,75    тыс.руб.</w:t>
            </w:r>
          </w:p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 2018 г. -     2,4     тыс.руб.</w:t>
            </w:r>
          </w:p>
        </w:tc>
      </w:tr>
      <w:tr>
        <w:trPr>
          <w:trHeight w:val="720" w:hRule="atLeast"/>
        </w:trPr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Ожидаемые      </w:t>
              <w:br/>
              <w:t xml:space="preserve">результаты  </w:t>
              <w:br/>
              <w:t xml:space="preserve">реализации  </w:t>
              <w:br/>
              <w:t xml:space="preserve">Программы   </w:t>
            </w:r>
          </w:p>
        </w:tc>
        <w:tc>
          <w:tcPr>
            <w:tcW w:w="7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Повышение качества предоставляемых коммунальных услуг, создание высокого уровня комфорта жителям поселения (снижение уровня износа основных фондов коммунального хозяйства),  улучшение состояния и увеличение объемов жилищного строительства            </w:t>
            </w:r>
          </w:p>
        </w:tc>
      </w:tr>
      <w:tr>
        <w:trPr>
          <w:trHeight w:val="600" w:hRule="atLeast"/>
        </w:trPr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Организация </w:t>
              <w:br/>
              <w:t>контроля  за</w:t>
              <w:br/>
              <w:t xml:space="preserve">исполнением </w:t>
              <w:br/>
              <w:t xml:space="preserve">Программы   </w:t>
            </w:r>
          </w:p>
        </w:tc>
        <w:tc>
          <w:tcPr>
            <w:tcW w:w="7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МО Залесовский сельсовет Красногвардейского района Оренбургской области</w:t>
            </w:r>
          </w:p>
        </w:tc>
      </w:tr>
      <w:tr>
        <w:trPr>
          <w:trHeight w:val="600" w:hRule="atLeast"/>
        </w:trPr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7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МО Залесовский сельсовет Красногвардейского района Оренбургской области</w:t>
            </w:r>
          </w:p>
        </w:tc>
      </w:tr>
      <w:tr>
        <w:trPr>
          <w:trHeight w:val="600" w:hRule="atLeast"/>
        </w:trPr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7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600" w:hRule="atLeast"/>
        </w:trPr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ConsPlusNormal"/>
              <w:widowControl/>
              <w:snapToGrid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Целевые показатели</w:t>
            </w:r>
          </w:p>
        </w:tc>
        <w:tc>
          <w:tcPr>
            <w:tcW w:w="7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tLeast" w:line="20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надёжности, энергоэффективности и развития системы коммунальной инфраструктуры, объектов утилизации, обезвреживания и утилизации ТБО, качества коммунальных ресурсов, привлечение бюджетных и внебюджетных средств в обеспечение комплексного развития систем коммунальной инфраструктуры поселения, внедрение механизмов, обеспечивающих осуществление планируемого строительства новых, реконструкции и комплексного обновления (модернизации) существующих систем коммунальной инфраструктуры. Перспективное обеспечение и потребность застройки поселения.</w:t>
            </w:r>
          </w:p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ConsPlusNormal"/>
        <w:widowControl/>
        <w:spacing w:lineRule="atLeast" w:line="200"/>
        <w:ind w:hanging="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i/>
          <w:sz w:val="24"/>
          <w:szCs w:val="24"/>
          <w:u w:val="single"/>
        </w:rPr>
      </w:r>
    </w:p>
    <w:p>
      <w:pPr>
        <w:pStyle w:val="ConsPlusNormal"/>
        <w:widowControl/>
        <w:spacing w:lineRule="atLeast" w:line="200"/>
        <w:ind w:hanging="0"/>
        <w:rPr>
          <w:rFonts w:ascii="Times New Roman" w:hAnsi="Times New Roman" w:cs="Times New Roman"/>
          <w:b/>
          <w:b/>
          <w:i/>
          <w:i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i/>
          <w:sz w:val="24"/>
          <w:szCs w:val="24"/>
          <w:u w:val="single"/>
        </w:rPr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Характеристика существующего состояния систем коммунальной инфраструктуры  </w:t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Водоснабжение в Залесовском  сельсовете осуществляется от двух артезианских скважин,  находящихся в с. Залесово, а также из личных скважин и колодцев.  Объем водопотребления составляет 148 м.куб. в сутки.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>скважина №1 -1,25м.3м./час, насос ЭЦВ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>скважина №2- 6,25м.3м/час, насос ЭЦВ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Протяженность водопроводной сети составляет 5000 метров, имеется резервуар воды на водозаборе, емкостью 75 м.куб.   Водопроводная сеть жилого фонда представляет собой замкнутую кольцевую систему водопроводных труб диаметром 50-200мм. Материал,  из которого выполнен водопровод: метал, асбоцемент, полиэтилен. Износ водопроводной сети составляет – 100%</w:t>
      </w:r>
    </w:p>
    <w:p>
      <w:pPr>
        <w:pStyle w:val="Normal"/>
        <w:spacing w:lineRule="atLeast" w:line="20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Теплоснабжение на территории населенных пунктов Залесовского сельсовета   осуществляется индивидуальными источниками тепловой энергии и отопительными котельными. Теплоснабжение (отопление и горячее водоснабжение)  осуществляется:  в с. Залесово  - в частных  и двухквартирных  домах   от печей и котлов на твердом топливе и газе, горячее водоснабжение - от проточных водонагревателей;   в с. Владимировка - печи и котлы  на твердом топливе и газе. . Теплоснабжение на территории Залесовского сельсовета осуществляется   от котельных: 1. Котельная МБОУ Залесовская СОШ мощностью 0,90; 2. Котельная  Залесовского Дома культуры мощностью_0,94 МВт; индивидуальными бытовыми газовыми и электрическими котлами.  Требуется замена   устаревшего и   изношенного оборудования;</w:t>
      </w:r>
    </w:p>
    <w:p>
      <w:pPr>
        <w:pStyle w:val="Normal"/>
        <w:spacing w:lineRule="atLeast" w:line="20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Водоотведение.                                                                                                                                                    Централизованной системы канализации на территории                                                                                                                  Залесов</w:t>
      </w:r>
      <w:r>
        <w:rPr>
          <w:rFonts w:ascii="Times New Roman" w:hAnsi="Times New Roman"/>
          <w:sz w:val="24"/>
          <w:szCs w:val="24"/>
        </w:rPr>
        <w:t>ского  сельсовета не имеется. Слив нечистот осуществляется в личные выгребные ямы.</w:t>
      </w:r>
    </w:p>
    <w:p>
      <w:pPr>
        <w:pStyle w:val="Normal"/>
        <w:spacing w:lineRule="atLeast" w:line="20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tLeast" w:line="200" w:before="0" w:after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0" w:before="0" w:after="0"/>
        <w:ind w:left="360" w:hanging="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tbl>
      <w:tblPr>
        <w:tblW w:w="9468" w:type="dxa"/>
        <w:jc w:val="left"/>
        <w:tblInd w:w="-1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93" w:type="dxa"/>
          <w:bottom w:w="0" w:type="dxa"/>
          <w:right w:w="108" w:type="dxa"/>
        </w:tblCellMar>
        <w:tblLook w:val="0000"/>
      </w:tblPr>
      <w:tblGrid>
        <w:gridCol w:w="3729"/>
        <w:gridCol w:w="1959"/>
        <w:gridCol w:w="3780"/>
      </w:tblGrid>
      <w:tr>
        <w:trPr>
          <w:trHeight w:val="213" w:hRule="atLeast"/>
        </w:trPr>
        <w:tc>
          <w:tcPr>
            <w:tcW w:w="37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1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Величина</w:t>
            </w:r>
          </w:p>
        </w:tc>
      </w:tr>
      <w:tr>
        <w:trPr>
          <w:trHeight w:val="389" w:hRule="atLeast"/>
        </w:trPr>
        <w:tc>
          <w:tcPr>
            <w:tcW w:w="37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Водоснабжение</w:t>
            </w:r>
          </w:p>
        </w:tc>
        <w:tc>
          <w:tcPr>
            <w:tcW w:w="1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50" w:hRule="atLeast"/>
        </w:trPr>
        <w:tc>
          <w:tcPr>
            <w:tcW w:w="37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водопроводных сетей по всем видам собственности</w:t>
            </w:r>
          </w:p>
        </w:tc>
        <w:tc>
          <w:tcPr>
            <w:tcW w:w="1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>
        <w:trPr>
          <w:trHeight w:val="213" w:hRule="atLeast"/>
        </w:trPr>
        <w:tc>
          <w:tcPr>
            <w:tcW w:w="37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Отпущено холодной воды за год </w:t>
            </w:r>
          </w:p>
        </w:tc>
        <w:tc>
          <w:tcPr>
            <w:tcW w:w="1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куб. м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51480</w:t>
            </w:r>
          </w:p>
        </w:tc>
      </w:tr>
      <w:tr>
        <w:trPr>
          <w:trHeight w:val="213" w:hRule="atLeast"/>
        </w:trPr>
        <w:tc>
          <w:tcPr>
            <w:tcW w:w="37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Отпущено горячей воды за год </w:t>
            </w:r>
          </w:p>
        </w:tc>
        <w:tc>
          <w:tcPr>
            <w:tcW w:w="1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куб. м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13" w:hRule="atLeast"/>
        </w:trPr>
        <w:tc>
          <w:tcPr>
            <w:tcW w:w="37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Теплоснабжение</w:t>
            </w:r>
          </w:p>
        </w:tc>
        <w:tc>
          <w:tcPr>
            <w:tcW w:w="1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37" w:hRule="atLeast"/>
        </w:trPr>
        <w:tc>
          <w:tcPr>
            <w:tcW w:w="37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источников теплоснабжения на конец года</w:t>
            </w:r>
          </w:p>
        </w:tc>
        <w:tc>
          <w:tcPr>
            <w:tcW w:w="1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>
          <w:trHeight w:val="425" w:hRule="atLeast"/>
        </w:trPr>
        <w:tc>
          <w:tcPr>
            <w:tcW w:w="37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Суммарная мощность источников теплоснабжения</w:t>
            </w:r>
          </w:p>
        </w:tc>
        <w:tc>
          <w:tcPr>
            <w:tcW w:w="1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МВт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1,84</w:t>
            </w:r>
          </w:p>
        </w:tc>
      </w:tr>
      <w:tr>
        <w:trPr>
          <w:trHeight w:val="650" w:hRule="atLeast"/>
        </w:trPr>
        <w:tc>
          <w:tcPr>
            <w:tcW w:w="37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тепловых сетей в двухтрубном исчислении на конец года</w:t>
            </w:r>
          </w:p>
        </w:tc>
        <w:tc>
          <w:tcPr>
            <w:tcW w:w="1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</w:tr>
      <w:tr>
        <w:trPr>
          <w:trHeight w:val="425" w:hRule="atLeast"/>
        </w:trPr>
        <w:tc>
          <w:tcPr>
            <w:tcW w:w="37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Отпущено тепловой энергии потребителям всего</w:t>
            </w:r>
          </w:p>
        </w:tc>
        <w:tc>
          <w:tcPr>
            <w:tcW w:w="1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Гкал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4084,9</w:t>
            </w:r>
          </w:p>
        </w:tc>
      </w:tr>
      <w:tr>
        <w:trPr>
          <w:trHeight w:val="213" w:hRule="atLeast"/>
        </w:trPr>
        <w:tc>
          <w:tcPr>
            <w:tcW w:w="37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Центральные тепловые пункты</w:t>
            </w:r>
          </w:p>
        </w:tc>
        <w:tc>
          <w:tcPr>
            <w:tcW w:w="1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tLeast" w:line="200" w:before="0" w:after="0"/>
        <w:rPr>
          <w:rFonts w:ascii="Times New Roman" w:hAnsi="Times New Roman"/>
          <w:i/>
          <w:i/>
          <w:u w:val="single"/>
        </w:rPr>
      </w:pPr>
      <w:r>
        <w:rPr>
          <w:rFonts w:ascii="Times New Roman" w:hAnsi="Times New Roman"/>
          <w:i/>
          <w:u w:val="single"/>
        </w:rPr>
      </w:r>
    </w:p>
    <w:p>
      <w:pPr>
        <w:pStyle w:val="Normal"/>
        <w:spacing w:lineRule="atLeast" w:line="200" w:before="0" w:after="0"/>
        <w:rPr>
          <w:rFonts w:ascii="Times New Roman" w:hAnsi="Times New Roman"/>
          <w:i/>
          <w:i/>
          <w:u w:val="single"/>
        </w:rPr>
      </w:pPr>
      <w:r>
        <w:rPr>
          <w:rFonts w:ascii="Times New Roman" w:hAnsi="Times New Roman"/>
          <w:i/>
          <w:u w:val="single"/>
        </w:rPr>
        <w:t xml:space="preserve">                                           </w:t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 развития поселения, план прогнозируемой застройки и прогнозируемый спрос на коммунальные ресурсы на период действия генерального плана</w:t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Планируемые объекты местного значения на территории Залесовского сельсовета: </w:t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Объекты социальной сферы. Проектной мощности клуба, библиотеки на расчетный период достаточно. Реконструкция Фапа. Реконструкция школы.</w:t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Транспортная инфраструктура. Реконструкция моста через реку Юласка. Реконструкция и приведение в соответствие с ГОСТом  улично-дорожной сети. Формирование в новых жилых районах дорожной сети с шириной улиц от 20 до 40 метров.</w:t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Объекты утилизации и переработки бытовых и промышленных отходов. В целях создания благоприятной среды обитания для проживания населения за счёт снижения негативного воздействия от предприятий и объектов предусмотрено:</w:t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существующий полигон ТБО привести в соответствие с санитарными требованиями ( СП 2.1.7.1038-01 « Гигиенические требования к устройству и содержанию полигонов для твердых бытовых отходов )</w:t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Объекты инженерной инфраструктуры.</w:t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Электроснабжение. Дополнительная потребность в электроэнергии, при норме электропотребления для сельских поселений 950 квт/ч/год на одного человека, составит 51110 квт. час/год. Для обеспечения электроэнергией новой жилой застройки, объектов соцкультбыта необходимо предусмотреть строительство отпаечных  ВЛ-10 к трансформаторным подстанциям, ВЛ-0,4 к жилому сектору.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>Водоснабжение. Согласно проекту водоснабжение с. Залесово часть водопровода подлежит демонтажу, с последующей заменой на новый водопровод ( по ул. Мира от дома № 17 до дома № 68, от дома № 23 по ул. Мира до скважины и от дома № 7 по ул. Школьной до водонапорной башни ). Для бесперебойного водоснабжения  необходимо :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проведение комплексной оценки состояния системы водоснабжения с целью определения необходимости её реконструкции и развития;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устройство на водозаборах станций водоподготовки;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выделение целенаправленного финансирования на благоустройство зон санитарной охраны источников водоснабжения;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перекладка изношенных  водопроводных сетей и строительство новых участков из современных материалов с закольцовкой тупиковых участков;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модернизация сооружений водопровода с заменой морально устаревшего технологического оборудования.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Водоотведение. С целью улучшения санитарной обстановки, уменьшения загрязнения водных объектов необходимо выполнить мероприятия: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организация локальных очистных сооружений в с. Залесово, включающих проектирование и строительство сборных и отводящих коллекторов, насосных станций и очистных сооружений хозяйственно-бытового стока в селе и проектируемой жилой застройке;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строительство сливных станций для неканализованной части поселения и специальных очистных сооружений для животноводческих ферм.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Теплоснабжение. Теплоснабжение новой малоэтажной застройки осуществлять от АОГВ, а новых общественных зданий от экологически чистых мини-котельных. Проводить регулярную перекладку тепловых сетей, их ремонт с целью снижения тепловых потерь. Проводить модернизацию котельных с целью увеличения эффективности работы и снижения вредного воздействия на окружающую среду.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Жилая и  общественно-деловая застройка.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- изыскание наиболее пригодных площадок для нового жилищного строительства на возвышенных местах с глубоким стоянием грунтовых вод;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- увеличение темпов индивидуального жилищного строительства с привлечением средств граждан и за счёт участия в государственных и областных  целевых программах;</w:t>
        <w:tab/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- выход на показатель обеспеченности не менее 30 кв. м. общей площади на человека;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-  основные параметры </w:t>
        <w:tab/>
        <w:t>застройки общественно-деловой зоны: здравоохранение-реконструкция ФАПа, образование-реконструкция школы.</w:t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1"/>
        </w:numPr>
        <w:tabs>
          <w:tab w:val="left" w:pos="0" w:leader="none"/>
          <w:tab w:val="left" w:pos="720" w:leader="none"/>
        </w:tabs>
        <w:suppressAutoHyphens w:val="true"/>
        <w:spacing w:lineRule="atLeast" w:line="20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Ресурсное обеспечение Программы</w:t>
      </w:r>
    </w:p>
    <w:p>
      <w:pPr>
        <w:pStyle w:val="Normal"/>
        <w:spacing w:lineRule="atLeast" w:line="200" w:before="0" w:after="0"/>
        <w:ind w:left="72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tLeast" w:line="20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Финансирование мероприятий программы планируется к осуществлению за счет средств бюджетного финансирования.</w:t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31690" w:type="dxa"/>
        <w:jc w:val="left"/>
        <w:tblInd w:w="-61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1440"/>
        <w:gridCol w:w="1800"/>
        <w:gridCol w:w="1710"/>
        <w:gridCol w:w="2074"/>
        <w:gridCol w:w="1109"/>
        <w:gridCol w:w="2847"/>
        <w:gridCol w:w="4755"/>
        <w:gridCol w:w="522"/>
        <w:gridCol w:w="247"/>
        <w:gridCol w:w="2"/>
        <w:gridCol w:w="880"/>
        <w:gridCol w:w="7147"/>
        <w:gridCol w:w="7157"/>
      </w:tblGrid>
      <w:tr>
        <w:trPr>
          <w:trHeight w:val="275" w:hRule="exact"/>
          <w:cantSplit w:val="true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годы</w:t>
            </w:r>
          </w:p>
        </w:tc>
        <w:tc>
          <w:tcPr>
            <w:tcW w:w="5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autoSpaceDE w:val="false"/>
              <w:snapToGrid w:val="false"/>
              <w:spacing w:lineRule="atLeast" w:line="200" w:before="0" w:after="0"/>
              <w:ind w:left="108" w:firstLine="54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Общая стоимость мероприятий, млн.руб.</w:t>
            </w:r>
          </w:p>
        </w:tc>
        <w:tc>
          <w:tcPr>
            <w:tcW w:w="103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autoSpaceDE w:val="false"/>
              <w:snapToGrid w:val="false"/>
              <w:spacing w:lineRule="atLeast" w:line="200" w:before="0" w:after="0"/>
              <w:ind w:left="108" w:firstLine="5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autoSpaceDE w:val="false"/>
              <w:snapToGrid w:val="false"/>
              <w:spacing w:lineRule="atLeast" w:line="200" w:before="0" w:after="0"/>
              <w:ind w:left="108" w:firstLine="5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autoSpaceDE w:val="false"/>
              <w:snapToGrid w:val="false"/>
              <w:spacing w:lineRule="atLeast" w:line="200" w:before="0" w:after="0"/>
              <w:ind w:left="108" w:firstLine="5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139" w:hRule="atLeast"/>
          <w:cantSplit w:val="true"/>
        </w:trPr>
        <w:tc>
          <w:tcPr>
            <w:tcW w:w="14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теплоснабжение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водоснабжение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водоотведение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водоснабжение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522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49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184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-5" w:type="dxa"/>
              <w:right w:w="0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260" w:hRule="atLeast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2014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22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9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4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-5" w:type="dxa"/>
              <w:right w:w="0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260" w:hRule="atLeast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2015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250 т. руб.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250 т. руб.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522" w:type="dxa"/>
            <w:tcBorders>
              <w:top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9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4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-5" w:type="dxa"/>
              <w:right w:w="0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260" w:hRule="atLeast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2016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 т. руб.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186" w:type="dxa"/>
            <w:gridSpan w:val="4"/>
            <w:tcBorders>
              <w:left w:val="single" w:sz="4" w:space="0" w:color="000000"/>
            </w:tcBorders>
            <w:shd w:fill="auto" w:val="clear"/>
            <w:tcMar>
              <w:left w:w="-5" w:type="dxa"/>
              <w:right w:w="0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274" w:hRule="atLeast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2017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150 т. руб.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600 т. руб.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1,75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1,2 </w:t>
            </w:r>
          </w:p>
        </w:tc>
        <w:tc>
          <w:tcPr>
            <w:tcW w:w="15955" w:type="dxa"/>
            <w:gridSpan w:val="6"/>
            <w:tcBorders/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74" w:hRule="atLeast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2018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300 т. руб.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600 т. руб.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186" w:type="dxa"/>
            <w:gridSpan w:val="4"/>
            <w:tcBorders>
              <w:left w:val="single" w:sz="4" w:space="0" w:color="000000"/>
            </w:tcBorders>
            <w:shd w:fill="auto" w:val="clear"/>
            <w:tcMar>
              <w:left w:w="-5" w:type="dxa"/>
              <w:right w:w="0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274" w:hRule="atLeast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2019-24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186" w:type="dxa"/>
            <w:gridSpan w:val="4"/>
            <w:tcBorders>
              <w:left w:val="single" w:sz="4" w:space="0" w:color="000000"/>
            </w:tcBorders>
            <w:shd w:fill="auto" w:val="clear"/>
            <w:tcMar>
              <w:left w:w="-5" w:type="dxa"/>
              <w:right w:w="0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274" w:hRule="atLeast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10,2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186" w:type="dxa"/>
            <w:gridSpan w:val="4"/>
            <w:tcBorders>
              <w:left w:val="single" w:sz="4" w:space="0" w:color="000000"/>
            </w:tcBorders>
            <w:shd w:fill="auto" w:val="clear"/>
            <w:tcMar>
              <w:left w:w="-5" w:type="dxa"/>
              <w:right w:w="0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tLeast" w:line="20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tLeast" w:line="20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tLeast" w:line="200" w:before="0" w:after="0"/>
        <w:ind w:firstLine="540"/>
        <w:rPr>
          <w:rFonts w:ascii="Times New Roman" w:hAnsi="Times New Roman"/>
          <w:b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b/>
          <w:iCs/>
          <w:sz w:val="28"/>
          <w:szCs w:val="28"/>
        </w:rPr>
        <w:t>Мероприятия программы</w:t>
      </w:r>
    </w:p>
    <w:p>
      <w:pPr>
        <w:pStyle w:val="Normal"/>
        <w:spacing w:lineRule="atLeast" w:line="200" w:before="0" w:after="0"/>
        <w:ind w:firstLine="540"/>
        <w:jc w:val="center"/>
        <w:rPr>
          <w:rFonts w:ascii="Times New Roman" w:hAnsi="Times New Roman"/>
          <w:b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b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b/>
          <w:iCs/>
          <w:sz w:val="24"/>
          <w:szCs w:val="24"/>
        </w:rPr>
        <w:t>Теплоснабжение</w:t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Ориентировочный  объем  работы по теплоснабжению  </w:t>
      </w:r>
    </w:p>
    <w:p>
      <w:pPr>
        <w:pStyle w:val="Normal"/>
        <w:spacing w:before="0" w:after="0"/>
        <w:ind w:firstLine="1247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900" w:type="dxa"/>
        <w:jc w:val="left"/>
        <w:tblInd w:w="-4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1e0"/>
      </w:tblPr>
      <w:tblGrid>
        <w:gridCol w:w="540"/>
        <w:gridCol w:w="2701"/>
        <w:gridCol w:w="1437"/>
        <w:gridCol w:w="1442"/>
        <w:gridCol w:w="717"/>
        <w:gridCol w:w="720"/>
        <w:gridCol w:w="900"/>
        <w:gridCol w:w="720"/>
        <w:gridCol w:w="722"/>
      </w:tblGrid>
      <w:tr>
        <w:trPr/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финансиро-вания</w:t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Объём финансиров.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Всего(тыс. руб.)</w:t>
            </w:r>
          </w:p>
        </w:tc>
        <w:tc>
          <w:tcPr>
            <w:tcW w:w="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>
        <w:trPr/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Модернизация котельной СДК 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Областной бюджет. Местный бюджет  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>
        <w:trPr/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Модернизация котельной администрации сельсовета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Областной бюджет. Местный бюджет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</w:tr>
      <w:tr>
        <w:trPr/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Модернизация школьной котельной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Областной бюджет. Местный бюджет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>
        <w:trPr/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Ремонт тепловых сетей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Областной бюджет.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</w:tr>
      <w:tr>
        <w:trPr/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 млн.руб.</w:t>
            </w:r>
          </w:p>
        </w:tc>
        <w:tc>
          <w:tcPr>
            <w:tcW w:w="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</w:tr>
    </w:tbl>
    <w:p>
      <w:pPr>
        <w:pStyle w:val="Normal"/>
        <w:spacing w:lineRule="atLeast" w:line="200" w:before="0" w:after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Водоснабжение</w:t>
      </w:r>
    </w:p>
    <w:p>
      <w:pPr>
        <w:pStyle w:val="Normal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Ориентировочные  объемы  работ  по  водоснабжению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spacing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</w:p>
    <w:p>
      <w:pPr>
        <w:pStyle w:val="Normal"/>
        <w:spacing w:before="0" w:after="0"/>
        <w:ind w:firstLine="1247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900" w:type="dxa"/>
        <w:jc w:val="left"/>
        <w:tblInd w:w="-4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1e0"/>
      </w:tblPr>
      <w:tblGrid>
        <w:gridCol w:w="540"/>
        <w:gridCol w:w="2701"/>
        <w:gridCol w:w="1437"/>
        <w:gridCol w:w="1442"/>
        <w:gridCol w:w="717"/>
        <w:gridCol w:w="720"/>
        <w:gridCol w:w="900"/>
        <w:gridCol w:w="720"/>
        <w:gridCol w:w="722"/>
      </w:tblGrid>
      <w:tr>
        <w:trPr>
          <w:trHeight w:val="1585" w:hRule="atLeast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финансиро-вания</w:t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Объём финансиров.</w:t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Всего(тыс. руб.)</w:t>
            </w:r>
          </w:p>
        </w:tc>
        <w:tc>
          <w:tcPr>
            <w:tcW w:w="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>
        <w:trPr>
          <w:trHeight w:val="2298" w:hRule="atLeast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Замена старого водопровода на новый по ул. Мира от дома №17 до №68, от №23 до скважины и от №7 по ул. Школьной до скважины. 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бюджет.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бюджет.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>
        <w:trPr>
          <w:trHeight w:val="1399" w:hRule="atLeast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Перекладка изношенных сетей водопровода по ул. Советской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бюджет. Местный бюджет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2, 5</w:t>
            </w:r>
          </w:p>
        </w:tc>
        <w:tc>
          <w:tcPr>
            <w:tcW w:w="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trHeight w:val="1699" w:hRule="atLeast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Перекладка изношенных сетей водопровода по ул.Молодежной и ул Дружбы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бюджет. Местный бюджет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>
        <w:trPr>
          <w:trHeight w:val="1385" w:hRule="atLeast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Благоустройство зон санитарной охраны источников водоснабжения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Областной бюджет.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1, 0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trHeight w:val="557" w:hRule="atLeast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млн. руб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</w:tr>
    </w:tbl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ectPr>
          <w:headerReference w:type="default" r:id="rId3"/>
          <w:footerReference w:type="default" r:id="rId4"/>
          <w:type w:val="nextPage"/>
          <w:pgSz w:w="11906" w:h="16838"/>
          <w:pgMar w:left="1701" w:right="851" w:header="709" w:top="1134" w:footer="709" w:bottom="1134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spacing w:lineRule="atLeast" w:line="200" w:before="0" w:after="0"/>
        <w:ind w:firstLine="540"/>
        <w:jc w:val="center"/>
        <w:rPr>
          <w:rFonts w:ascii="Times New Roman" w:hAnsi="Times New Roman"/>
          <w:b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 </w:t>
      </w:r>
    </w:p>
    <w:p>
      <w:pPr>
        <w:pStyle w:val="Normal"/>
        <w:spacing w:lineRule="atLeast" w:line="200" w:before="0" w:after="0"/>
        <w:ind w:firstLine="540"/>
        <w:jc w:val="center"/>
        <w:rPr>
          <w:rFonts w:ascii="Times New Roman" w:hAnsi="Times New Roman"/>
          <w:b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</w:r>
    </w:p>
    <w:p>
      <w:pPr>
        <w:pStyle w:val="Normal"/>
        <w:spacing w:lineRule="atLeast" w:line="200" w:before="0" w:after="0"/>
        <w:ind w:firstLine="540"/>
        <w:jc w:val="center"/>
        <w:rPr>
          <w:rFonts w:ascii="Times New Roman" w:hAnsi="Times New Roman"/>
          <w:b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b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/>
          <w:b/>
          <w:iCs/>
          <w:sz w:val="24"/>
          <w:szCs w:val="24"/>
        </w:rPr>
        <w:t>Водоотведение</w:t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Ориентировочный  объем  работы по водоотведению  </w:t>
      </w:r>
    </w:p>
    <w:p>
      <w:pPr>
        <w:pStyle w:val="Normal"/>
        <w:spacing w:before="0" w:after="0"/>
        <w:ind w:firstLine="1247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0080" w:type="dxa"/>
        <w:jc w:val="left"/>
        <w:tblInd w:w="-4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1e0"/>
      </w:tblPr>
      <w:tblGrid>
        <w:gridCol w:w="540"/>
        <w:gridCol w:w="2700"/>
        <w:gridCol w:w="1442"/>
        <w:gridCol w:w="1439"/>
        <w:gridCol w:w="720"/>
        <w:gridCol w:w="717"/>
        <w:gridCol w:w="903"/>
        <w:gridCol w:w="717"/>
        <w:gridCol w:w="901"/>
      </w:tblGrid>
      <w:tr>
        <w:trPr/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финансиро-вания</w:t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Объём финансиров.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Всего(тыс. руб.)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>
        <w:trPr/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Строительство локальных очистных сооружений 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бюджет. Местный бюджет.</w:t>
            </w:r>
          </w:p>
        </w:tc>
        <w:tc>
          <w:tcPr>
            <w:tcW w:w="1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</w:tr>
      <w:tr>
        <w:trPr/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Приведение в соответствие с санитарными нормами объектов ТБО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бюджет. Местный бюджет.</w:t>
            </w:r>
          </w:p>
        </w:tc>
        <w:tc>
          <w:tcPr>
            <w:tcW w:w="1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</w:tr>
      <w:tr>
        <w:trPr/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1,2 т.руб.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600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</w:tr>
    </w:tbl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margin">
                  <wp:posOffset>-342900</wp:posOffset>
                </wp:positionH>
                <wp:positionV relativeFrom="paragraph">
                  <wp:posOffset>-570230</wp:posOffset>
                </wp:positionV>
                <wp:extent cx="5939790" cy="5738495"/>
                <wp:effectExtent l="0" t="0" r="0" b="0"/>
                <wp:wrapSquare wrapText="bothSides"/>
                <wp:docPr id="2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9280" cy="5738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5000" w:type="pct"/>
                              <w:jc w:val="left"/>
                              <w:tblInd w:w="56" w:type="dxa"/>
                              <w:tblBorders>
                                <w:top w:val="double" w:sz="4" w:space="0" w:color="00000A"/>
                                <w:left w:val="single" w:sz="6" w:space="0" w:color="00000A"/>
                                <w:right w:val="single" w:sz="6" w:space="0" w:color="00000A"/>
                                <w:insideV w:val="single" w:sz="6" w:space="0" w:color="00000A"/>
                              </w:tblBorders>
                              <w:tblCellMar>
                                <w:top w:w="0" w:type="dxa"/>
                                <w:left w:w="46" w:type="dxa"/>
                                <w:bottom w:w="0" w:type="dxa"/>
                                <w:right w:w="70" w:type="dxa"/>
                              </w:tblCellMar>
                              <w:tblLook w:val="0000"/>
                            </w:tblPr>
                            <w:tblGrid>
                              <w:gridCol w:w="969"/>
                              <w:gridCol w:w="2525"/>
                              <w:gridCol w:w="1478"/>
                              <w:gridCol w:w="887"/>
                              <w:gridCol w:w="892"/>
                              <w:gridCol w:w="892"/>
                              <w:gridCol w:w="789"/>
                              <w:gridCol w:w="922"/>
                            </w:tblGrid>
                            <w:tr>
                              <w:trPr>
                                <w:trHeight w:val="485" w:hRule="atLeast"/>
                              </w:trPr>
                              <w:tc>
                                <w:tcPr>
                                  <w:tcW w:w="969" w:type="dxa"/>
                                  <w:vMerge w:val="restart"/>
                                  <w:tcBorders>
                                    <w:top w:val="double" w:sz="4" w:space="0" w:color="00000A"/>
                                    <w:left w:val="single" w:sz="6" w:space="0" w:color="00000A"/>
                                    <w:right w:val="single" w:sz="6" w:space="0" w:color="00000A"/>
                                    <w:insideV w:val="single" w:sz="6" w:space="0" w:color="00000A"/>
                                  </w:tcBorders>
                                  <w:shd w:color="auto" w:fill="B6DDE8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№ </w:t>
                                  </w:r>
                                </w:p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п/п</w:t>
                                  </w:r>
                                </w:p>
                              </w:tc>
                              <w:tc>
                                <w:tcPr>
                                  <w:tcW w:w="2525" w:type="dxa"/>
                                  <w:vMerge w:val="restart"/>
                                  <w:tcBorders>
                                    <w:top w:val="double" w:sz="4" w:space="0" w:color="00000A"/>
                                    <w:left w:val="single" w:sz="6" w:space="0" w:color="00000A"/>
                                    <w:right w:val="single" w:sz="6" w:space="0" w:color="00000A"/>
                                    <w:insideV w:val="single" w:sz="6" w:space="0" w:color="00000A"/>
                                  </w:tcBorders>
                                  <w:shd w:color="auto" w:fill="B6DDE8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Наименование показателя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vMerge w:val="restart"/>
                                  <w:tcBorders>
                                    <w:top w:val="double" w:sz="4" w:space="0" w:color="00000A"/>
                                    <w:left w:val="single" w:sz="6" w:space="0" w:color="00000A"/>
                                    <w:right w:val="single" w:sz="6" w:space="0" w:color="00000A"/>
                                    <w:insideV w:val="single" w:sz="6" w:space="0" w:color="00000A"/>
                                  </w:tcBorders>
                                  <w:shd w:color="auto" w:fill="B6DDE8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Начальное значение показателя</w:t>
                                  </w:r>
                                </w:p>
                              </w:tc>
                              <w:tc>
                                <w:tcPr>
                                  <w:tcW w:w="4382" w:type="dxa"/>
                                  <w:gridSpan w:val="5"/>
                                  <w:tcBorders>
                                    <w:top w:val="double" w:sz="4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color="auto" w:fill="B6DDE8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/>
                                  </w:pPr>
                                  <w:r>
                                    <w:rPr>
                                      <w:rStyle w:val="Style17"/>
                                      <w:rFonts w:ascii="Times New Roman" w:hAnsi="Times New Roman"/>
                                      <w:b w:val="false"/>
                                      <w:bCs/>
                                      <w:sz w:val="24"/>
                                      <w:szCs w:val="24"/>
                                    </w:rPr>
                                    <w:t>Значение показателя по годам</w:t>
                                  </w:r>
                                </w:p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5" w:hRule="atLeast"/>
                              </w:trPr>
                              <w:tc>
                                <w:tcPr>
                                  <w:tcW w:w="969" w:type="dxa"/>
                                  <w:vMerge w:val="continue"/>
                                  <w:tcBorders>
                                    <w:top w:val="double" w:sz="4" w:space="0" w:color="00000A"/>
                                    <w:left w:val="single" w:sz="6" w:space="0" w:color="00000A"/>
                                    <w:bottom w:val="double" w:sz="4" w:space="0" w:color="00000A"/>
                                    <w:right w:val="single" w:sz="6" w:space="0" w:color="00000A"/>
                                    <w:insideH w:val="double" w:sz="4" w:space="0" w:color="00000A"/>
                                    <w:insideV w:val="single" w:sz="6" w:space="0" w:color="00000A"/>
                                  </w:tcBorders>
                                  <w:shd w:color="auto" w:fill="B6DDE8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525" w:type="dxa"/>
                                  <w:vMerge w:val="continue"/>
                                  <w:tcBorders>
                                    <w:top w:val="double" w:sz="4" w:space="0" w:color="00000A"/>
                                    <w:left w:val="single" w:sz="6" w:space="0" w:color="00000A"/>
                                    <w:bottom w:val="double" w:sz="4" w:space="0" w:color="00000A"/>
                                    <w:right w:val="single" w:sz="6" w:space="0" w:color="00000A"/>
                                    <w:insideH w:val="double" w:sz="4" w:space="0" w:color="00000A"/>
                                    <w:insideV w:val="single" w:sz="6" w:space="0" w:color="00000A"/>
                                  </w:tcBorders>
                                  <w:shd w:color="auto" w:fill="B6DDE8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vMerge w:val="continue"/>
                                  <w:tcBorders>
                                    <w:top w:val="double" w:sz="4" w:space="0" w:color="00000A"/>
                                    <w:left w:val="single" w:sz="6" w:space="0" w:color="00000A"/>
                                    <w:bottom w:val="double" w:sz="4" w:space="0" w:color="00000A"/>
                                    <w:right w:val="single" w:sz="6" w:space="0" w:color="00000A"/>
                                    <w:insideH w:val="double" w:sz="4" w:space="0" w:color="00000A"/>
                                    <w:insideV w:val="single" w:sz="6" w:space="0" w:color="00000A"/>
                                  </w:tcBorders>
                                  <w:shd w:color="auto" w:fill="B6DDE8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87" w:type="dxa"/>
                                  <w:tcBorders>
                                    <w:top w:val="double" w:sz="4" w:space="0" w:color="00000A"/>
                                    <w:left w:val="single" w:sz="6" w:space="0" w:color="00000A"/>
                                    <w:bottom w:val="double" w:sz="4" w:space="0" w:color="00000A"/>
                                    <w:right w:val="single" w:sz="6" w:space="0" w:color="00000A"/>
                                    <w:insideH w:val="double" w:sz="4" w:space="0" w:color="00000A"/>
                                    <w:insideV w:val="single" w:sz="6" w:space="0" w:color="00000A"/>
                                  </w:tcBorders>
                                  <w:shd w:color="auto" w:fill="B6DDE8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2014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double" w:sz="4" w:space="0" w:color="00000A"/>
                                    <w:left w:val="single" w:sz="6" w:space="0" w:color="00000A"/>
                                    <w:bottom w:val="double" w:sz="4" w:space="0" w:color="00000A"/>
                                    <w:right w:val="single" w:sz="6" w:space="0" w:color="00000A"/>
                                    <w:insideH w:val="double" w:sz="4" w:space="0" w:color="00000A"/>
                                    <w:insideV w:val="single" w:sz="6" w:space="0" w:color="00000A"/>
                                  </w:tcBorders>
                                  <w:shd w:color="auto" w:fill="B6DDE8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2015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double" w:sz="4" w:space="0" w:color="00000A"/>
                                    <w:left w:val="single" w:sz="6" w:space="0" w:color="00000A"/>
                                    <w:bottom w:val="double" w:sz="4" w:space="0" w:color="00000A"/>
                                    <w:right w:val="single" w:sz="6" w:space="0" w:color="00000A"/>
                                    <w:insideH w:val="double" w:sz="4" w:space="0" w:color="00000A"/>
                                    <w:insideV w:val="single" w:sz="6" w:space="0" w:color="00000A"/>
                                  </w:tcBorders>
                                  <w:shd w:color="auto" w:fill="B6DDE8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2016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  <w:tcBorders>
                                    <w:top w:val="double" w:sz="4" w:space="0" w:color="00000A"/>
                                    <w:left w:val="single" w:sz="6" w:space="0" w:color="00000A"/>
                                    <w:bottom w:val="double" w:sz="4" w:space="0" w:color="00000A"/>
                                    <w:right w:val="single" w:sz="6" w:space="0" w:color="00000A"/>
                                    <w:insideH w:val="double" w:sz="4" w:space="0" w:color="00000A"/>
                                    <w:insideV w:val="single" w:sz="6" w:space="0" w:color="00000A"/>
                                  </w:tcBorders>
                                  <w:shd w:color="auto" w:fill="B6DDE8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2017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  <w:tcBorders>
                                    <w:top w:val="double" w:sz="4" w:space="0" w:color="00000A"/>
                                    <w:left w:val="single" w:sz="6" w:space="0" w:color="00000A"/>
                                    <w:bottom w:val="double" w:sz="4" w:space="0" w:color="00000A"/>
                                    <w:right w:val="single" w:sz="6" w:space="0" w:color="00000A"/>
                                    <w:insideH w:val="double" w:sz="4" w:space="0" w:color="00000A"/>
                                    <w:insideV w:val="single" w:sz="6" w:space="0" w:color="00000A"/>
                                  </w:tcBorders>
                                  <w:shd w:color="auto" w:fill="B6DDE8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bidi w:val="0"/>
                                    <w:spacing w:lineRule="auto" w:line="276" w:before="0" w:after="200"/>
                                    <w:jc w:val="left"/>
                                    <w:rPr/>
                                  </w:pPr>
                                  <w:r>
                                    <w:rPr>
                                      <w:rStyle w:val="Style17"/>
                                      <w:rFonts w:ascii="Times New Roman" w:hAnsi="Times New Roman"/>
                                      <w:b w:val="false"/>
                                      <w:bCs/>
                                      <w:sz w:val="24"/>
                                      <w:szCs w:val="24"/>
                                    </w:rPr>
                                    <w:t>2018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5" w:hRule="atLeast"/>
                              </w:trPr>
                              <w:tc>
                                <w:tcPr>
                                  <w:tcW w:w="969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25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Доля перспективной обеспеченности и потребности застройки поселения 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7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0 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1  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1 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1 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5" w:hRule="atLeast"/>
                              </w:trPr>
                              <w:tc>
                                <w:tcPr>
                                  <w:tcW w:w="969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25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Развитие системы водоснабжения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и благоустройство зон санитарной охраны источников водоснабжения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7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1 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5" w:hRule="atLeast"/>
                              </w:trPr>
                              <w:tc>
                                <w:tcPr>
                                  <w:tcW w:w="969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25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Модернизация системы теплоснабжения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7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1 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1 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5" w:hRule="atLeast"/>
                              </w:trPr>
                              <w:tc>
                                <w:tcPr>
                                  <w:tcW w:w="969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525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Соответствие санитарным нормам объектов утилизации ТБО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7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5" w:hRule="atLeast"/>
                              </w:trPr>
                              <w:tc>
                                <w:tcPr>
                                  <w:tcW w:w="969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525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both"/>
                                    <w:rPr/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Организация локальных очистных сооружений 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7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  <w:insideH w:val="single" w:sz="6" w:space="0" w:color="00000A"/>
                                    <w:insideV w:val="single" w:sz="6" w:space="0" w:color="00000A"/>
                                  </w:tcBorders>
                                  <w:shd w:fill="auto" w:val="clear"/>
                                  <w:tcMar>
                                    <w:left w:w="46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0" w:after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26"/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</wp:anchor>
            </w:drawing>
          </mc:Choice>
          <mc:Fallback>
            <w:pict>
              <v:rect id="shape_0" ID="Врезка1" stroked="f" style="position:absolute;margin-left:-27pt;margin-top:-44.9pt;width:467.6pt;height:451.75pt;mso-position-horizontal-relative:margin">
                <w10:wrap type="none"/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5000" w:type="pct"/>
                        <w:jc w:val="left"/>
                        <w:tblInd w:w="56" w:type="dxa"/>
                        <w:tblBorders>
                          <w:top w:val="double" w:sz="4" w:space="0" w:color="00000A"/>
                          <w:left w:val="single" w:sz="6" w:space="0" w:color="00000A"/>
                          <w:right w:val="single" w:sz="6" w:space="0" w:color="00000A"/>
                          <w:insideV w:val="single" w:sz="6" w:space="0" w:color="00000A"/>
                        </w:tblBorders>
                        <w:tblCellMar>
                          <w:top w:w="0" w:type="dxa"/>
                          <w:left w:w="46" w:type="dxa"/>
                          <w:bottom w:w="0" w:type="dxa"/>
                          <w:right w:w="70" w:type="dxa"/>
                        </w:tblCellMar>
                        <w:tblLook w:val="0000"/>
                      </w:tblPr>
                      <w:tblGrid>
                        <w:gridCol w:w="969"/>
                        <w:gridCol w:w="2525"/>
                        <w:gridCol w:w="1478"/>
                        <w:gridCol w:w="887"/>
                        <w:gridCol w:w="892"/>
                        <w:gridCol w:w="892"/>
                        <w:gridCol w:w="789"/>
                        <w:gridCol w:w="922"/>
                      </w:tblGrid>
                      <w:tr>
                        <w:trPr>
                          <w:trHeight w:val="485" w:hRule="atLeast"/>
                        </w:trPr>
                        <w:tc>
                          <w:tcPr>
                            <w:tcW w:w="969" w:type="dxa"/>
                            <w:vMerge w:val="restart"/>
                            <w:tcBorders>
                              <w:top w:val="double" w:sz="4" w:space="0" w:color="00000A"/>
                              <w:left w:val="single" w:sz="6" w:space="0" w:color="00000A"/>
                              <w:right w:val="single" w:sz="6" w:space="0" w:color="00000A"/>
                              <w:insideV w:val="single" w:sz="6" w:space="0" w:color="00000A"/>
                            </w:tcBorders>
                            <w:shd w:color="auto" w:fill="B6DDE8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№ </w:t>
                            </w:r>
                          </w:p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п/п</w:t>
                            </w:r>
                          </w:p>
                        </w:tc>
                        <w:tc>
                          <w:tcPr>
                            <w:tcW w:w="2525" w:type="dxa"/>
                            <w:vMerge w:val="restart"/>
                            <w:tcBorders>
                              <w:top w:val="double" w:sz="4" w:space="0" w:color="00000A"/>
                              <w:left w:val="single" w:sz="6" w:space="0" w:color="00000A"/>
                              <w:right w:val="single" w:sz="6" w:space="0" w:color="00000A"/>
                              <w:insideV w:val="single" w:sz="6" w:space="0" w:color="00000A"/>
                            </w:tcBorders>
                            <w:shd w:color="auto" w:fill="B6DDE8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Наименование показателя</w:t>
                            </w:r>
                          </w:p>
                        </w:tc>
                        <w:tc>
                          <w:tcPr>
                            <w:tcW w:w="1478" w:type="dxa"/>
                            <w:vMerge w:val="restart"/>
                            <w:tcBorders>
                              <w:top w:val="double" w:sz="4" w:space="0" w:color="00000A"/>
                              <w:left w:val="single" w:sz="6" w:space="0" w:color="00000A"/>
                              <w:right w:val="single" w:sz="6" w:space="0" w:color="00000A"/>
                              <w:insideV w:val="single" w:sz="6" w:space="0" w:color="00000A"/>
                            </w:tcBorders>
                            <w:shd w:color="auto" w:fill="B6DDE8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Начальное значение показателя</w:t>
                            </w:r>
                          </w:p>
                        </w:tc>
                        <w:tc>
                          <w:tcPr>
                            <w:tcW w:w="4382" w:type="dxa"/>
                            <w:gridSpan w:val="5"/>
                            <w:tcBorders>
                              <w:top w:val="double" w:sz="4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color="auto" w:fill="B6DDE8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>
                                <w:rStyle w:val="Style17"/>
                                <w:rFonts w:ascii="Times New Roman" w:hAnsi="Times New Roman"/>
                                <w:b w:val="false"/>
                                <w:bCs/>
                                <w:sz w:val="24"/>
                                <w:szCs w:val="24"/>
                              </w:rPr>
                              <w:t>Значение показателя по годам</w:t>
                            </w:r>
                          </w:p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85" w:hRule="atLeast"/>
                        </w:trPr>
                        <w:tc>
                          <w:tcPr>
                            <w:tcW w:w="969" w:type="dxa"/>
                            <w:vMerge w:val="continue"/>
                            <w:tcBorders>
                              <w:top w:val="double" w:sz="4" w:space="0" w:color="00000A"/>
                              <w:left w:val="single" w:sz="6" w:space="0" w:color="00000A"/>
                              <w:bottom w:val="double" w:sz="4" w:space="0" w:color="00000A"/>
                              <w:right w:val="single" w:sz="6" w:space="0" w:color="00000A"/>
                              <w:insideH w:val="double" w:sz="4" w:space="0" w:color="00000A"/>
                              <w:insideV w:val="single" w:sz="6" w:space="0" w:color="00000A"/>
                            </w:tcBorders>
                            <w:shd w:color="auto" w:fill="B6DDE8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2525" w:type="dxa"/>
                            <w:vMerge w:val="continue"/>
                            <w:tcBorders>
                              <w:top w:val="double" w:sz="4" w:space="0" w:color="00000A"/>
                              <w:left w:val="single" w:sz="6" w:space="0" w:color="00000A"/>
                              <w:bottom w:val="double" w:sz="4" w:space="0" w:color="00000A"/>
                              <w:right w:val="single" w:sz="6" w:space="0" w:color="00000A"/>
                              <w:insideH w:val="double" w:sz="4" w:space="0" w:color="00000A"/>
                              <w:insideV w:val="single" w:sz="6" w:space="0" w:color="00000A"/>
                            </w:tcBorders>
                            <w:shd w:color="auto" w:fill="B6DDE8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1478" w:type="dxa"/>
                            <w:vMerge w:val="continue"/>
                            <w:tcBorders>
                              <w:top w:val="double" w:sz="4" w:space="0" w:color="00000A"/>
                              <w:left w:val="single" w:sz="6" w:space="0" w:color="00000A"/>
                              <w:bottom w:val="double" w:sz="4" w:space="0" w:color="00000A"/>
                              <w:right w:val="single" w:sz="6" w:space="0" w:color="00000A"/>
                              <w:insideH w:val="double" w:sz="4" w:space="0" w:color="00000A"/>
                              <w:insideV w:val="single" w:sz="6" w:space="0" w:color="00000A"/>
                            </w:tcBorders>
                            <w:shd w:color="auto" w:fill="B6DDE8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887" w:type="dxa"/>
                            <w:tcBorders>
                              <w:top w:val="double" w:sz="4" w:space="0" w:color="00000A"/>
                              <w:left w:val="single" w:sz="6" w:space="0" w:color="00000A"/>
                              <w:bottom w:val="double" w:sz="4" w:space="0" w:color="00000A"/>
                              <w:right w:val="single" w:sz="6" w:space="0" w:color="00000A"/>
                              <w:insideH w:val="double" w:sz="4" w:space="0" w:color="00000A"/>
                              <w:insideV w:val="single" w:sz="6" w:space="0" w:color="00000A"/>
                            </w:tcBorders>
                            <w:shd w:color="auto" w:fill="B6DDE8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2014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double" w:sz="4" w:space="0" w:color="00000A"/>
                              <w:left w:val="single" w:sz="6" w:space="0" w:color="00000A"/>
                              <w:bottom w:val="double" w:sz="4" w:space="0" w:color="00000A"/>
                              <w:right w:val="single" w:sz="6" w:space="0" w:color="00000A"/>
                              <w:insideH w:val="double" w:sz="4" w:space="0" w:color="00000A"/>
                              <w:insideV w:val="single" w:sz="6" w:space="0" w:color="00000A"/>
                            </w:tcBorders>
                            <w:shd w:color="auto" w:fill="B6DDE8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2015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double" w:sz="4" w:space="0" w:color="00000A"/>
                              <w:left w:val="single" w:sz="6" w:space="0" w:color="00000A"/>
                              <w:bottom w:val="double" w:sz="4" w:space="0" w:color="00000A"/>
                              <w:right w:val="single" w:sz="6" w:space="0" w:color="00000A"/>
                              <w:insideH w:val="double" w:sz="4" w:space="0" w:color="00000A"/>
                              <w:insideV w:val="single" w:sz="6" w:space="0" w:color="00000A"/>
                            </w:tcBorders>
                            <w:shd w:color="auto" w:fill="B6DDE8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2016</w:t>
                            </w:r>
                          </w:p>
                        </w:tc>
                        <w:tc>
                          <w:tcPr>
                            <w:tcW w:w="789" w:type="dxa"/>
                            <w:tcBorders>
                              <w:top w:val="double" w:sz="4" w:space="0" w:color="00000A"/>
                              <w:left w:val="single" w:sz="6" w:space="0" w:color="00000A"/>
                              <w:bottom w:val="double" w:sz="4" w:space="0" w:color="00000A"/>
                              <w:right w:val="single" w:sz="6" w:space="0" w:color="00000A"/>
                              <w:insideH w:val="double" w:sz="4" w:space="0" w:color="00000A"/>
                              <w:insideV w:val="single" w:sz="6" w:space="0" w:color="00000A"/>
                            </w:tcBorders>
                            <w:shd w:color="auto" w:fill="B6DDE8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2017</w:t>
                            </w:r>
                          </w:p>
                        </w:tc>
                        <w:tc>
                          <w:tcPr>
                            <w:tcW w:w="922" w:type="dxa"/>
                            <w:tcBorders>
                              <w:top w:val="double" w:sz="4" w:space="0" w:color="00000A"/>
                              <w:left w:val="single" w:sz="6" w:space="0" w:color="00000A"/>
                              <w:bottom w:val="double" w:sz="4" w:space="0" w:color="00000A"/>
                              <w:right w:val="single" w:sz="6" w:space="0" w:color="00000A"/>
                              <w:insideH w:val="double" w:sz="4" w:space="0" w:color="00000A"/>
                              <w:insideV w:val="single" w:sz="6" w:space="0" w:color="00000A"/>
                            </w:tcBorders>
                            <w:shd w:color="auto" w:fill="B6DDE8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widowControl/>
                              <w:bidi w:val="0"/>
                              <w:spacing w:lineRule="auto" w:line="276" w:before="0" w:after="200"/>
                              <w:jc w:val="left"/>
                              <w:rPr/>
                            </w:pPr>
                            <w:r>
                              <w:rPr>
                                <w:rStyle w:val="Style17"/>
                                <w:rFonts w:ascii="Times New Roman" w:hAnsi="Times New Roman"/>
                                <w:b w:val="false"/>
                                <w:bCs/>
                                <w:sz w:val="24"/>
                                <w:szCs w:val="24"/>
                              </w:rPr>
                              <w:t>2018</w:t>
                            </w:r>
                          </w:p>
                        </w:tc>
                      </w:tr>
                      <w:tr>
                        <w:trPr>
                          <w:trHeight w:val="485" w:hRule="atLeast"/>
                        </w:trPr>
                        <w:tc>
                          <w:tcPr>
                            <w:tcW w:w="969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25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Доля перспективной обеспеченности и потребности застройки поселения 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7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0 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1  </w:t>
                            </w:r>
                          </w:p>
                        </w:tc>
                        <w:tc>
                          <w:tcPr>
                            <w:tcW w:w="789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1 </w:t>
                            </w:r>
                          </w:p>
                        </w:tc>
                        <w:tc>
                          <w:tcPr>
                            <w:tcW w:w="922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1 </w:t>
                            </w:r>
                          </w:p>
                        </w:tc>
                      </w:tr>
                      <w:tr>
                        <w:trPr>
                          <w:trHeight w:val="485" w:hRule="atLeast"/>
                        </w:trPr>
                        <w:tc>
                          <w:tcPr>
                            <w:tcW w:w="969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25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Развитие системы водоснабжения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и благоустройство зон санитарной охраны источников водоснабжения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7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89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1 </w:t>
                            </w:r>
                          </w:p>
                        </w:tc>
                        <w:tc>
                          <w:tcPr>
                            <w:tcW w:w="922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</w:tr>
                      <w:tr>
                        <w:trPr>
                          <w:trHeight w:val="485" w:hRule="atLeast"/>
                        </w:trPr>
                        <w:tc>
                          <w:tcPr>
                            <w:tcW w:w="969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25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Модернизация системы теплоснабжения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7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1 </w:t>
                            </w:r>
                          </w:p>
                        </w:tc>
                        <w:tc>
                          <w:tcPr>
                            <w:tcW w:w="789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1 </w:t>
                            </w:r>
                          </w:p>
                        </w:tc>
                        <w:tc>
                          <w:tcPr>
                            <w:tcW w:w="922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</w:tr>
                      <w:tr>
                        <w:trPr>
                          <w:trHeight w:val="485" w:hRule="atLeast"/>
                        </w:trPr>
                        <w:tc>
                          <w:tcPr>
                            <w:tcW w:w="969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525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Соответствие санитарным нормам объектов утилизации ТБО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7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89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22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</w:tr>
                      <w:tr>
                        <w:trPr>
                          <w:trHeight w:val="485" w:hRule="atLeast"/>
                        </w:trPr>
                        <w:tc>
                          <w:tcPr>
                            <w:tcW w:w="969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525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both"/>
                              <w:rPr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Организация локальных очистных сооружений 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7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89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22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  <w:insideH w:val="single" w:sz="6" w:space="0" w:color="00000A"/>
                              <w:insideV w:val="single" w:sz="6" w:space="0" w:color="00000A"/>
                            </w:tcBorders>
                            <w:shd w:fill="auto" w:val="clear"/>
                            <w:tcMar>
                              <w:left w:w="46" w:type="dxa"/>
                            </w:tcMar>
                          </w:tcPr>
                          <w:p>
                            <w:pPr>
                              <w:pStyle w:val="Normal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</w:tr>
                    </w:tbl>
                    <w:p>
                      <w:pPr>
                        <w:pStyle w:val="Style26"/>
                        <w:spacing w:before="0" w:after="2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i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Целевые показатели  программ</w:t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Обоснование мероприятий Программы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tbl>
      <w:tblPr>
        <w:tblW w:w="10099" w:type="dxa"/>
        <w:jc w:val="left"/>
        <w:tblInd w:w="-4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1e0"/>
      </w:tblPr>
      <w:tblGrid>
        <w:gridCol w:w="1077"/>
        <w:gridCol w:w="4732"/>
        <w:gridCol w:w="4290"/>
      </w:tblGrid>
      <w:tr>
        <w:trPr>
          <w:trHeight w:val="248" w:hRule="atLeast"/>
        </w:trPr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Чем вызвана необходимость</w:t>
            </w:r>
          </w:p>
        </w:tc>
        <w:tc>
          <w:tcPr>
            <w:tcW w:w="42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Ссылка на нормативные акты</w:t>
            </w:r>
          </w:p>
        </w:tc>
      </w:tr>
      <w:tr>
        <w:trPr>
          <w:trHeight w:val="508" w:hRule="atLeast"/>
        </w:trPr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Необходимость  модернизации котельных в связи с моральным и физическим устареванием оборудования и ремонт тепловых сетей в связи с их износом.</w:t>
            </w:r>
          </w:p>
        </w:tc>
        <w:tc>
          <w:tcPr>
            <w:tcW w:w="42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ConsPlusNormal"/>
              <w:widowControl/>
              <w:snapToGrid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Федеральный закон от 06.10.2003г. № 131-ФЗ «Об общих принципах организации местного самоуправления в Российской Федерации».</w:t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48" w:hRule="atLeast"/>
        </w:trPr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Реконструкция сетей водопровода в связи со стопроцентным износом и необходимость благоустройства зон санитарной охраны водозаборных  скважин в связи с их отсутствием.</w:t>
            </w:r>
          </w:p>
        </w:tc>
        <w:tc>
          <w:tcPr>
            <w:tcW w:w="42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Федеральный закон от 06.10.2003г. № 131-ФЗ «Об общих принципах организации местного самоуправления в Российской Федерации».</w:t>
            </w:r>
          </w:p>
        </w:tc>
      </w:tr>
      <w:tr>
        <w:trPr>
          <w:trHeight w:val="496" w:hRule="atLeast"/>
        </w:trPr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Необходимость обеспечения централизованной системой канализации в связи с её отсутствием.</w:t>
            </w:r>
          </w:p>
        </w:tc>
        <w:tc>
          <w:tcPr>
            <w:tcW w:w="42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СанПиН 42-128-4690-88 « Санитарные правила содержания территории населенных пунктов»</w:t>
            </w:r>
          </w:p>
        </w:tc>
      </w:tr>
      <w:tr>
        <w:trPr>
          <w:trHeight w:val="1027" w:hRule="atLeast"/>
        </w:trPr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4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Необходимость экологически безопасного размещения и обезвреживания ТБО.</w:t>
            </w:r>
          </w:p>
        </w:tc>
        <w:tc>
          <w:tcPr>
            <w:tcW w:w="42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СП 2.1.7.1038-01 « Гигиенические требования к устройству и содержанию полигонов для ТБО».</w:t>
            </w:r>
          </w:p>
        </w:tc>
      </w:tr>
      <w:tr>
        <w:trPr>
          <w:trHeight w:val="1027" w:hRule="atLeast"/>
        </w:trPr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Перспективная застройка поселения.</w:t>
            </w:r>
          </w:p>
        </w:tc>
        <w:tc>
          <w:tcPr>
            <w:tcW w:w="42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 42.13330.2011                                        « Градостроительство. Планировка и застройка городских и сельских поселений»</w:t>
            </w:r>
          </w:p>
        </w:tc>
      </w:tr>
    </w:tbl>
    <w:p>
      <w:pPr>
        <w:pStyle w:val="ConsPlusNormal"/>
        <w:widowControl/>
        <w:spacing w:lineRule="atLeast" w:line="200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Сроки  реализации Программы</w:t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Мероприятия Программы осуществляются в течение 2014 - 2024 гг. </w:t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данный период предполагается запуск всех основных организационных и финансовых механизмов реализации Программы, окончательное формирование градостроительной и нормативно-распорядительной документации, развертывание работ по подготовке территорий под комплексное жилищное строительство и строительство объектов социального и культурно-бытового назначения (создание коммунальной инфраструктуры), внедрение перспективных строительных технологий, создание системы мониторинга. </w:t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Основные приоритеты могут быть уточнены в процессе реализации Программы.  </w:t>
      </w:r>
    </w:p>
    <w:p>
      <w:pPr>
        <w:pStyle w:val="Normal"/>
        <w:spacing w:lineRule="atLeast" w:line="20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Механизм реализации Программы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Залесовского сельсовета  Красногвардейского района:</w:t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разрабатывает Программу комплексного развития систем коммунальной инфраструктуры;</w:t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рассматривает и утверждает разработанную Программу комплексного развития систем коммунальной инфраструктуры;</w:t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готовит расчеты финансовых потребностей, необходимых для реализации данной Программы;</w:t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Подключение к сетям коммунальной инфраструктуры объектов, построенных в рамках реализации Программы осуществляется  за счет платы за подключение. </w:t>
      </w:r>
    </w:p>
    <w:p>
      <w:pPr>
        <w:pStyle w:val="Normal"/>
        <w:spacing w:lineRule="atLeast" w:line="20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Управление и контроль в процессе реализации Программы</w:t>
      </w:r>
    </w:p>
    <w:p>
      <w:pPr>
        <w:pStyle w:val="Normal"/>
        <w:spacing w:lineRule="atLeast" w:line="20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Управление и контроль за исполнением Программы осуществляется администрацией МО Залесовский сельсовет Красногвардейского района Оренбургской области. </w:t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Общая координация хода выполнения Программы осуществляется главой администрации поселения </w:t>
      </w:r>
    </w:p>
    <w:p>
      <w:pPr>
        <w:pStyle w:val="Normal"/>
        <w:spacing w:lineRule="atLeast" w:line="20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Исполнителями основных мероприятий Программы является организация коммунального комплекса ООО « Уют – 2», работающая на территории  Залесовского сельсовета Красногвардейского района.</w:t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5"/>
      <w:footerReference w:type="default" r:id="rId6"/>
      <w:type w:val="nextPage"/>
      <w:pgSz w:w="11906" w:h="16838"/>
      <w:pgMar w:left="1701" w:right="851" w:header="709" w:top="1134" w:footer="709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ind w:right="360" w:hanging="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ind w:right="360" w:hanging="0"/>
      <w:rPr>
        <w:lang w:val="en-US"/>
      </w:rPr>
    </w:pPr>
    <w:r>
      <w:rPr>
        <w:lang w:val="en-US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720" w:hanging="360"/>
      </w:pPr>
      <w:rPr>
        <w:sz w:val="24"/>
        <w:b/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144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180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216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3600" w:hanging="36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50c18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link w:val="a3"/>
    <w:semiHidden/>
    <w:qFormat/>
    <w:rsid w:val="00850c18"/>
    <w:rPr>
      <w:rFonts w:ascii="Times New Roman" w:hAnsi="Times New Roman" w:eastAsia="Calibri" w:cs="Times New Roman"/>
      <w:sz w:val="24"/>
      <w:szCs w:val="24"/>
      <w:lang w:eastAsia="ar-SA"/>
    </w:rPr>
  </w:style>
  <w:style w:type="character" w:styleId="Style15" w:customStyle="1">
    <w:name w:val="Нижний колонтитул Знак"/>
    <w:basedOn w:val="DefaultParagraphFont"/>
    <w:link w:val="a5"/>
    <w:semiHidden/>
    <w:qFormat/>
    <w:rsid w:val="00850c18"/>
    <w:rPr>
      <w:rFonts w:ascii="Times New Roman" w:hAnsi="Times New Roman" w:eastAsia="Calibri" w:cs="Times New Roman"/>
      <w:sz w:val="24"/>
      <w:szCs w:val="24"/>
      <w:lang w:eastAsia="ar-SA"/>
    </w:rPr>
  </w:style>
  <w:style w:type="character" w:styleId="Style16" w:customStyle="1">
    <w:name w:val="Верхний колонтитул Знак"/>
    <w:basedOn w:val="DefaultParagraphFont"/>
    <w:link w:val="a7"/>
    <w:semiHidden/>
    <w:qFormat/>
    <w:rsid w:val="00850c18"/>
    <w:rPr>
      <w:rFonts w:ascii="Times New Roman" w:hAnsi="Times New Roman" w:eastAsia="Calibri" w:cs="Times New Roman"/>
      <w:sz w:val="24"/>
      <w:szCs w:val="24"/>
      <w:lang w:eastAsia="ar-SA"/>
    </w:rPr>
  </w:style>
  <w:style w:type="character" w:styleId="Style17" w:customStyle="1">
    <w:name w:val="Цветовое выделение"/>
    <w:qFormat/>
    <w:rsid w:val="00850c18"/>
    <w:rPr>
      <w:b/>
      <w:color w:val="000080"/>
      <w:sz w:val="20"/>
    </w:rPr>
  </w:style>
  <w:style w:type="character" w:styleId="Style18" w:customStyle="1">
    <w:name w:val="Текст выноски Знак"/>
    <w:basedOn w:val="DefaultParagraphFont"/>
    <w:link w:val="aa"/>
    <w:uiPriority w:val="99"/>
    <w:semiHidden/>
    <w:qFormat/>
    <w:rsid w:val="00850c18"/>
    <w:rPr>
      <w:rFonts w:ascii="Tahoma" w:hAnsi="Tahoma" w:eastAsia="Times New Roman" w:cs="Tahoma"/>
      <w:sz w:val="16"/>
      <w:szCs w:val="16"/>
    </w:rPr>
  </w:style>
  <w:style w:type="character" w:styleId="ListLabel1">
    <w:name w:val="ListLabel 1"/>
    <w:qFormat/>
    <w:rPr>
      <w:rFonts w:ascii="Times New Roman" w:hAnsi="Times New Roman" w:cs="Times New Roman"/>
      <w:b/>
      <w:sz w:val="24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ascii="Times New Roman" w:hAnsi="Times New Roman" w:cs="Times New Roman"/>
      <w:b/>
      <w:sz w:val="24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ascii="Times New Roman" w:hAnsi="Times New Roman" w:cs="Times New Roman"/>
      <w:b/>
      <w:sz w:val="24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paragraph" w:styleId="Style19">
    <w:name w:val="Заголовок"/>
    <w:basedOn w:val="Normal"/>
    <w:next w:val="Style20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link w:val="a4"/>
    <w:semiHidden/>
    <w:rsid w:val="00850c18"/>
    <w:pPr>
      <w:suppressAutoHyphens w:val="true"/>
      <w:spacing w:lineRule="auto" w:line="240" w:before="0" w:after="120"/>
    </w:pPr>
    <w:rPr>
      <w:rFonts w:ascii="Times New Roman" w:hAnsi="Times New Roman" w:eastAsia="Calibri"/>
      <w:sz w:val="24"/>
      <w:szCs w:val="24"/>
      <w:lang w:eastAsia="ar-SA"/>
    </w:rPr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850c18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00000A"/>
      <w:sz w:val="16"/>
      <w:szCs w:val="16"/>
      <w:lang w:val="ru-RU" w:eastAsia="ar-SA" w:bidi="ar-SA"/>
    </w:rPr>
  </w:style>
  <w:style w:type="paragraph" w:styleId="ConsPlusTitle" w:customStyle="1">
    <w:name w:val="ConsPlusTitle"/>
    <w:qFormat/>
    <w:rsid w:val="00850c18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b/>
      <w:bCs/>
      <w:color w:val="00000A"/>
      <w:sz w:val="20"/>
      <w:szCs w:val="20"/>
      <w:lang w:val="ru-RU" w:eastAsia="ar-SA" w:bidi="ar-SA"/>
    </w:rPr>
  </w:style>
  <w:style w:type="paragraph" w:styleId="Style24">
    <w:name w:val="Footer"/>
    <w:basedOn w:val="Normal"/>
    <w:link w:val="a6"/>
    <w:semiHidden/>
    <w:rsid w:val="00850c18"/>
    <w:pPr>
      <w:tabs>
        <w:tab w:val="center" w:pos="4677" w:leader="none"/>
        <w:tab w:val="right" w:pos="9355" w:leader="none"/>
      </w:tabs>
      <w:suppressAutoHyphens w:val="true"/>
      <w:spacing w:lineRule="auto" w:line="240" w:before="0" w:after="0"/>
    </w:pPr>
    <w:rPr>
      <w:rFonts w:ascii="Times New Roman" w:hAnsi="Times New Roman" w:eastAsia="Calibri"/>
      <w:sz w:val="24"/>
      <w:szCs w:val="24"/>
      <w:lang w:eastAsia="ar-SA"/>
    </w:rPr>
  </w:style>
  <w:style w:type="paragraph" w:styleId="Style25">
    <w:name w:val="Header"/>
    <w:basedOn w:val="Normal"/>
    <w:link w:val="a8"/>
    <w:semiHidden/>
    <w:rsid w:val="00850c18"/>
    <w:pPr>
      <w:tabs>
        <w:tab w:val="center" w:pos="4677" w:leader="none"/>
        <w:tab w:val="right" w:pos="9355" w:leader="none"/>
      </w:tabs>
      <w:suppressAutoHyphens w:val="true"/>
      <w:spacing w:lineRule="auto" w:line="240" w:before="0" w:after="0"/>
    </w:pPr>
    <w:rPr>
      <w:rFonts w:ascii="Times New Roman" w:hAnsi="Times New Roman" w:eastAsia="Calibri"/>
      <w:sz w:val="24"/>
      <w:szCs w:val="24"/>
      <w:lang w:eastAsia="ar-SA"/>
    </w:rPr>
  </w:style>
  <w:style w:type="paragraph" w:styleId="BalloonText">
    <w:name w:val="Balloon Text"/>
    <w:basedOn w:val="Normal"/>
    <w:link w:val="ab"/>
    <w:uiPriority w:val="99"/>
    <w:semiHidden/>
    <w:unhideWhenUsed/>
    <w:qFormat/>
    <w:rsid w:val="00850c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6">
    <w:name w:val="Содержимое врезки"/>
    <w:basedOn w:val="Normal"/>
    <w:qFormat/>
    <w:pPr/>
    <w:rPr/>
  </w:style>
  <w:style w:type="paragraph" w:styleId="Style27">
    <w:name w:val="Содержимое таблицы"/>
    <w:basedOn w:val="Normal"/>
    <w:qFormat/>
    <w:pPr/>
    <w:rPr/>
  </w:style>
  <w:style w:type="paragraph" w:styleId="Style28">
    <w:name w:val="Заголовок таблицы"/>
    <w:basedOn w:val="Style27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Application>LibreOffice/5.3.0.3$Windows_X86_64 LibreOffice_project/7074905676c47b82bbcfbea1aeefc84afe1c50e1</Application>
  <Pages>14</Pages>
  <Words>2268</Words>
  <Characters>16372</Characters>
  <CharactersWithSpaces>20098</CharactersWithSpaces>
  <Paragraphs>424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2018-06-25T04:43:00Z</dcterms:created>
  <dc:creator>Zal</dc:creator>
  <dc:description/>
  <dc:language>ru-RU</dc:language>
  <cp:lastModifiedBy/>
  <dcterms:modified xsi:type="dcterms:W3CDTF">2019-12-16T16:00:49Z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