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pPr w:bottomFromText="0" w:horzAnchor="margin" w:leftFromText="180" w:rightFromText="180" w:tblpX="97" w:tblpY="231" w:topFromText="0" w:vertAnchor="margin"/>
        <w:tblW w:w="10445" w:type="dxa"/>
        <w:jc w:val="left"/>
        <w:tblInd w:w="108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0445"/>
      </w:tblGrid>
      <w:tr>
        <w:trPr>
          <w:trHeight w:val="14631" w:hRule="exact"/>
        </w:trPr>
        <w:tc>
          <w:tcPr>
            <w:tcW w:w="10445" w:type="dxa"/>
            <w:tcBorders/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540" w:leader="none"/>
                <w:tab w:val="left" w:pos="4111" w:leader="none"/>
                <w:tab w:val="left" w:pos="4140" w:leader="none"/>
                <w:tab w:val="left" w:pos="5245" w:leader="none"/>
                <w:tab w:val="left" w:pos="5670" w:leader="none"/>
                <w:tab w:val="left" w:pos="6379" w:leader="none"/>
                <w:tab w:val="left" w:pos="7830" w:leader="none"/>
              </w:tabs>
              <w:spacing w:lineRule="auto" w:line="240" w:before="0" w:after="0"/>
              <w:ind w:left="-150" w:right="419" w:hanging="0"/>
              <w:jc w:val="center"/>
              <w:outlineLvl w:val="0"/>
              <w:rPr>
                <w:rFonts w:ascii="Times New Roman" w:hAnsi="Times New Roman" w:eastAsia="Times New Roman" w:cs="Times New Roman"/>
                <w:b/>
                <w:b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eastAsia="ru-RU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540" w:leader="none"/>
                <w:tab w:val="left" w:pos="4111" w:leader="none"/>
                <w:tab w:val="left" w:pos="4140" w:leader="none"/>
                <w:tab w:val="left" w:pos="5245" w:leader="none"/>
                <w:tab w:val="left" w:pos="5670" w:leader="none"/>
                <w:tab w:val="left" w:pos="6379" w:leader="none"/>
                <w:tab w:val="left" w:pos="7830" w:leader="none"/>
              </w:tabs>
              <w:spacing w:lineRule="auto" w:line="240" w:before="0" w:after="0"/>
              <w:ind w:right="419" w:hanging="0"/>
              <w:jc w:val="center"/>
              <w:outlineLvl w:val="0"/>
              <w:rPr>
                <w:rFonts w:ascii="Times New Roman" w:hAnsi="Times New Roman" w:eastAsia="Times New Roman" w:cs="Times New Roman"/>
                <w:b/>
                <w:b/>
                <w:sz w:val="16"/>
                <w:szCs w:val="16"/>
                <w:lang w:eastAsia="ru-RU"/>
              </w:rPr>
            </w:pPr>
            <w:r>
              <w:rPr/>
              <w:drawing>
                <wp:inline distT="0" distB="2540" distL="0" distR="6985">
                  <wp:extent cx="659765" cy="683895"/>
                  <wp:effectExtent l="0" t="0" r="0" b="0"/>
                  <wp:docPr id="1" name="Рисунок 2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765" cy="68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540" w:leader="none"/>
                <w:tab w:val="left" w:pos="4111" w:leader="none"/>
                <w:tab w:val="left" w:pos="4140" w:leader="none"/>
                <w:tab w:val="left" w:pos="5245" w:leader="none"/>
                <w:tab w:val="left" w:pos="5670" w:leader="none"/>
                <w:tab w:val="left" w:pos="6379" w:leader="none"/>
                <w:tab w:val="left" w:pos="7830" w:leader="none"/>
              </w:tabs>
              <w:spacing w:lineRule="auto" w:line="240" w:before="0" w:after="0"/>
              <w:ind w:right="419" w:hanging="0"/>
              <w:jc w:val="both"/>
              <w:outlineLvl w:val="0"/>
              <w:rPr>
                <w:rFonts w:ascii="Times New Roman" w:hAnsi="Times New Roman" w:eastAsia="Times New Roman" w:cs="Times New Roman"/>
                <w:b/>
                <w:b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eastAsia="ru-RU"/>
              </w:rPr>
            </w:r>
          </w:p>
          <w:p>
            <w:pPr>
              <w:pStyle w:val="Normal"/>
              <w:keepNext/>
              <w:numPr>
                <w:ilvl w:val="0"/>
                <w:numId w:val="0"/>
              </w:numPr>
              <w:spacing w:lineRule="auto" w:line="276" w:before="0" w:after="0"/>
              <w:jc w:val="center"/>
              <w:outlineLvl w:val="0"/>
              <w:rPr>
                <w:rFonts w:ascii="Times New Roman" w:hAnsi="Times New Roman" w:eastAsia="Times New Roman" w:cs="Arial"/>
                <w:b/>
                <w:b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Times New Roman" w:hAnsi="Times New Roman"/>
                <w:b/>
                <w:sz w:val="16"/>
                <w:szCs w:val="16"/>
                <w:lang w:eastAsia="ru-RU"/>
              </w:rPr>
              <w:t>МИНИСТЕРСТВО ПРИРОДНЫХ РЕСУРСОВ, ЭКОЛОГИИ И ИМУЩЕСТВЕННЫХ ОТНОШЕНИЙ ОРЕНБУРГСКОЙ ОБЛАСТИ</w:t>
            </w:r>
          </w:p>
          <w:p>
            <w:pPr>
              <w:pStyle w:val="Normal"/>
              <w:keepNext/>
              <w:numPr>
                <w:ilvl w:val="0"/>
                <w:numId w:val="0"/>
              </w:numPr>
              <w:spacing w:lineRule="auto" w:line="276" w:before="0" w:after="0"/>
              <w:jc w:val="center"/>
              <w:outlineLvl w:val="0"/>
              <w:rPr>
                <w:rFonts w:ascii="Times New Roman" w:hAnsi="Times New Roman" w:eastAsia="Times New Roman" w:cs="Arial"/>
                <w:b/>
                <w:b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Times New Roman" w:hAnsi="Times New Roman"/>
                <w:b/>
                <w:sz w:val="16"/>
                <w:szCs w:val="16"/>
                <w:lang w:eastAsia="ru-RU"/>
              </w:rPr>
            </w:r>
          </w:p>
          <w:p>
            <w:pPr>
              <w:pStyle w:val="Style41"/>
              <w:widowControl/>
              <w:spacing w:lineRule="auto" w:line="240"/>
              <w:jc w:val="center"/>
              <w:rPr>
                <w:b/>
                <w:b/>
                <w:caps/>
                <w:spacing w:val="20"/>
                <w:sz w:val="16"/>
                <w:szCs w:val="16"/>
              </w:rPr>
            </w:pPr>
            <w:r>
              <w:rPr>
                <w:b/>
                <w:caps/>
                <w:spacing w:val="20"/>
                <w:sz w:val="16"/>
                <w:szCs w:val="16"/>
              </w:rPr>
              <w:t>ГОСУДАРСТВЕННОЕ БЮДЖЕТНОЕ УЧРЕЖДЕНИЕ</w:t>
            </w:r>
          </w:p>
          <w:p>
            <w:pPr>
              <w:pStyle w:val="Style41"/>
              <w:widowControl/>
              <w:spacing w:lineRule="auto" w:line="240" w:before="0" w:after="120"/>
              <w:ind w:firstLine="692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aps/>
                <w:spacing w:val="20"/>
                <w:sz w:val="16"/>
                <w:szCs w:val="16"/>
              </w:rPr>
              <w:t>«ЦЕНТР ГОСУДАРСТВЕННОЙ КАДАСТРОВОЙ ОЦЕНКИ ОРЕНБУРГСКОЙ ОБЛАСТИ»</w:t>
            </w:r>
          </w:p>
          <w:p>
            <w:pPr>
              <w:pStyle w:val="Style41"/>
              <w:widowControl/>
              <w:spacing w:lineRule="auto" w:line="240"/>
              <w:ind w:right="284" w:firstLine="692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mc:AlternateContent>
                <mc:Choice Requires="wpg">
                  <w:drawing>
                    <wp:anchor behindDoc="0" distT="0" distB="0" distL="114300" distR="114300" simplePos="0" locked="0" layoutInCell="1" allowOverlap="1" relativeHeight="3" wp14:anchorId="7F24B9D0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63500</wp:posOffset>
                      </wp:positionV>
                      <wp:extent cx="6291580" cy="41910"/>
                      <wp:effectExtent l="10160" t="12700" r="13970" b="12700"/>
                      <wp:wrapNone/>
                      <wp:docPr id="2" name="Группа 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600">
                                <a:off x="0" y="0"/>
                                <a:ext cx="6291000" cy="41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40680"/>
                                  <a:ext cx="6291000" cy="720"/>
                                </a:xfrm>
                                <a:prstGeom prst="line">
                                  <a:avLst/>
                                </a:prstGeom>
                                <a:ln w="936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0" y="0"/>
                                  <a:ext cx="6291000" cy="720"/>
                                </a:xfrm>
                                <a:prstGeom prst="line">
                                  <a:avLst/>
                                </a:prstGeom>
                                <a:ln w="190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Группа 1" style="position:absolute;margin-left:8.9pt;margin-top:5pt;width:495.3pt;height:3.2pt" coordorigin="178,100" coordsize="9906,64">
                      <v:line id="shape_0" from="178,164" to="10084,164" ID="Line 3" stroked="t" style="position:absolute">
                        <v:stroke color="black" weight="9360" joinstyle="round" endcap="flat"/>
                        <v:fill o:detectmouseclick="t" on="false"/>
                      </v:line>
                      <v:line id="shape_0" from="178,100" to="10084,100" ID="Line 4" stroked="t" style="position:absolute">
                        <v:stroke color="black" weight="19080" joinstyle="round" endcap="flat"/>
                        <v:fill o:detectmouseclick="t" on="false"/>
                      </v:line>
                    </v:group>
                  </w:pict>
                </mc:Fallback>
              </mc:AlternateContent>
            </w:r>
          </w:p>
          <w:p>
            <w:pPr>
              <w:pStyle w:val="Style41"/>
              <w:widowControl/>
              <w:spacing w:lineRule="auto" w:line="240" w:before="120" w:after="120"/>
              <w:ind w:right="284" w:firstLine="692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ПОРЯДОК И СПОСОБЫ ПОДАЧИ ДЕКЛАРАЦИИ О ХАРАКТЕРИСТИКАХ ОБЪЕКТА НЕДВИЖИМОСТИ</w:t>
            </w:r>
          </w:p>
          <w:p>
            <w:pPr>
              <w:pStyle w:val="2"/>
              <w:spacing w:lineRule="auto" w:line="240" w:before="0" w:after="16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</w:rPr>
              <w:t>Приказ Минэкономразвития РФ от 04.06.2019 № 318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>
            <w:pPr>
              <w:pStyle w:val="2"/>
              <w:spacing w:lineRule="auto" w:line="240" w:before="0" w:after="24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«Об утверждении Порядка рассмотрения декларации о характеристиках объекта недвижимости, в том числе ее формы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>
            <w:pPr>
              <w:pStyle w:val="Style41"/>
              <w:widowControl/>
              <w:spacing w:lineRule="auto" w:line="240"/>
              <w:ind w:left="130" w:right="176" w:firstLine="286"/>
              <w:jc w:val="both"/>
              <w:rPr>
                <w:sz w:val="23"/>
                <w:szCs w:val="23"/>
                <w:highlight w:val="white"/>
              </w:rPr>
            </w:pPr>
            <w:r>
              <w:rPr>
                <w:sz w:val="23"/>
                <w:szCs w:val="23"/>
                <w:shd w:fill="FFFFFF" w:val="clear"/>
              </w:rPr>
              <w:t xml:space="preserve">     </w:t>
            </w:r>
            <w:r>
              <w:rPr>
                <w:sz w:val="23"/>
                <w:szCs w:val="23"/>
                <w:shd w:fill="FFFFFF" w:val="clear"/>
              </w:rPr>
              <w:t xml:space="preserve">В целях сбора и обработки информации, необходимой для определения кадастровой стоимости, правообладатели объектов недвижимости вправе предоставить бюджетному учреждению декларации о характеристиках соответствующих объектов недвижимости. </w:t>
            </w:r>
          </w:p>
          <w:p>
            <w:pPr>
              <w:pStyle w:val="Style41"/>
              <w:widowControl/>
              <w:spacing w:lineRule="auto" w:line="240"/>
              <w:ind w:left="130" w:right="176" w:firstLine="286"/>
              <w:jc w:val="both"/>
              <w:rPr>
                <w:sz w:val="23"/>
                <w:szCs w:val="23"/>
                <w:highlight w:val="white"/>
              </w:rPr>
            </w:pPr>
            <w:r>
              <w:rPr>
                <w:sz w:val="23"/>
                <w:szCs w:val="23"/>
                <w:shd w:fill="FFFFFF" w:val="clear"/>
              </w:rPr>
              <w:t xml:space="preserve">     </w:t>
            </w:r>
            <w:r>
              <w:rPr>
                <w:sz w:val="23"/>
                <w:szCs w:val="23"/>
                <w:shd w:fill="FFFFFF" w:val="clear"/>
              </w:rPr>
              <w:t xml:space="preserve">Декларация подается для целей уточнения характеристик объекта недвижимости и необходима в случаях противоречивости данных. </w:t>
            </w:r>
          </w:p>
          <w:p>
            <w:pPr>
              <w:pStyle w:val="Style41"/>
              <w:widowControl/>
              <w:spacing w:lineRule="auto" w:line="240"/>
              <w:ind w:left="130" w:right="176" w:firstLine="286"/>
              <w:jc w:val="both"/>
              <w:rPr/>
            </w:pPr>
            <w:r>
              <w:rPr>
                <w:sz w:val="23"/>
                <w:szCs w:val="23"/>
                <w:shd w:fill="FFFFFF" w:val="clear"/>
              </w:rPr>
              <w:t xml:space="preserve">    </w:t>
            </w:r>
            <w:r>
              <w:rPr>
                <w:sz w:val="23"/>
                <w:szCs w:val="23"/>
                <w:shd w:fill="FFFFFF" w:val="clear"/>
              </w:rPr>
              <w:t xml:space="preserve">Порядок рассмотрения декларации о характеристиках объекта недвижимости, в том числе ее форма утверждены   </w:t>
            </w:r>
            <w:hyperlink r:id="rId3">
              <w:r>
                <w:rPr>
                  <w:rStyle w:val="Style13"/>
                  <w:sz w:val="23"/>
                  <w:szCs w:val="23"/>
                  <w:shd w:fill="FFFFFF" w:val="clear"/>
                </w:rPr>
                <w:t>Приказом Минэкономразвития России от 04.06.2019 N 318</w:t>
              </w:r>
            </w:hyperlink>
            <w:bookmarkStart w:id="0" w:name="_GoBack"/>
            <w:bookmarkEnd w:id="0"/>
            <w:r>
              <w:rPr>
                <w:sz w:val="23"/>
                <w:szCs w:val="23"/>
                <w:shd w:fill="FFFFFF" w:val="clear"/>
              </w:rPr>
              <w:t>.</w:t>
            </w:r>
          </w:p>
          <w:p>
            <w:pPr>
              <w:pStyle w:val="Style41"/>
              <w:widowControl/>
              <w:spacing w:lineRule="auto" w:line="240"/>
              <w:ind w:left="130" w:right="176" w:firstLine="286"/>
              <w:jc w:val="both"/>
              <w:rPr/>
            </w:pPr>
            <w:r>
              <w:rPr>
                <w:sz w:val="23"/>
                <w:szCs w:val="23"/>
                <w:shd w:fill="FFFFFF" w:val="clear"/>
              </w:rPr>
              <w:t xml:space="preserve">     </w:t>
            </w:r>
            <w:r>
              <w:rPr>
                <w:sz w:val="23"/>
                <w:szCs w:val="23"/>
                <w:shd w:fill="FFFFFF" w:val="clear"/>
              </w:rPr>
              <w:t xml:space="preserve">Вся необходимая информация о приеме деклараций размещена на сайте Учреждения: </w:t>
            </w:r>
            <w:hyperlink r:id="rId4">
              <w:r>
                <w:rPr>
                  <w:rStyle w:val="Style13"/>
                  <w:sz w:val="23"/>
                  <w:szCs w:val="23"/>
                  <w:shd w:fill="FFFFFF" w:val="clear"/>
                </w:rPr>
                <w:t>http://goskadocentr.orb.ru/deklaracii</w:t>
              </w:r>
            </w:hyperlink>
            <w:r>
              <w:rPr>
                <w:sz w:val="23"/>
                <w:szCs w:val="23"/>
                <w:shd w:fill="FFFFFF" w:val="clear"/>
              </w:rPr>
              <w:t>.</w:t>
            </w:r>
          </w:p>
          <w:p>
            <w:pPr>
              <w:pStyle w:val="Style41"/>
              <w:widowControl/>
              <w:spacing w:lineRule="auto" w:line="240"/>
              <w:ind w:left="130" w:right="176" w:firstLine="286"/>
              <w:jc w:val="both"/>
              <w:rPr>
                <w:sz w:val="23"/>
                <w:szCs w:val="23"/>
                <w:highlight w:val="white"/>
              </w:rPr>
            </w:pPr>
            <w:r>
              <w:rPr>
                <w:sz w:val="23"/>
                <w:szCs w:val="23"/>
                <w:shd w:fill="FFFFFF" w:val="clear"/>
              </w:rPr>
              <w:t xml:space="preserve">     </w:t>
            </w:r>
          </w:p>
          <w:p>
            <w:pPr>
              <w:pStyle w:val="Style41"/>
              <w:widowControl/>
              <w:spacing w:lineRule="auto" w:line="240"/>
              <w:ind w:left="130" w:right="176" w:firstLine="286"/>
              <w:jc w:val="both"/>
              <w:rPr>
                <w:sz w:val="23"/>
                <w:szCs w:val="23"/>
                <w:highlight w:val="white"/>
              </w:rPr>
            </w:pPr>
            <w:r>
              <w:rPr>
                <w:sz w:val="23"/>
                <w:szCs w:val="23"/>
                <w:shd w:fill="FFFFFF" w:val="clear"/>
              </w:rPr>
              <w:t xml:space="preserve">     </w:t>
            </w:r>
            <w:r>
              <w:rPr>
                <w:sz w:val="23"/>
                <w:szCs w:val="23"/>
                <w:shd w:fill="FFFFFF" w:val="clear"/>
              </w:rPr>
              <w:t>Декларацию вправе подать:</w:t>
            </w:r>
          </w:p>
          <w:p>
            <w:pPr>
              <w:pStyle w:val="Style41"/>
              <w:widowControl/>
              <w:spacing w:lineRule="auto" w:line="240"/>
              <w:ind w:left="130" w:right="176" w:firstLine="286"/>
              <w:jc w:val="both"/>
              <w:rPr>
                <w:sz w:val="23"/>
                <w:szCs w:val="23"/>
                <w:highlight w:val="white"/>
              </w:rPr>
            </w:pPr>
            <w:r>
              <w:rPr>
                <w:sz w:val="23"/>
                <w:szCs w:val="23"/>
                <w:shd w:fill="FFFFFF" w:val="clear"/>
              </w:rPr>
              <w:t xml:space="preserve">     </w:t>
            </w:r>
            <w:r>
              <w:rPr>
                <w:sz w:val="23"/>
                <w:szCs w:val="23"/>
                <w:shd w:fill="FFFFFF" w:val="clear"/>
              </w:rPr>
              <w:t>- собственник объекта (физическое, юридическое лицо),</w:t>
            </w:r>
          </w:p>
          <w:p>
            <w:pPr>
              <w:pStyle w:val="Style41"/>
              <w:widowControl/>
              <w:spacing w:lineRule="auto" w:line="240"/>
              <w:ind w:left="130" w:right="176" w:firstLine="284"/>
              <w:jc w:val="both"/>
              <w:rPr>
                <w:sz w:val="23"/>
                <w:szCs w:val="23"/>
                <w:highlight w:val="white"/>
              </w:rPr>
            </w:pPr>
            <w:r>
              <w:rPr>
                <w:sz w:val="23"/>
                <w:szCs w:val="23"/>
                <w:shd w:fill="FFFFFF" w:val="clear"/>
              </w:rPr>
              <w:t xml:space="preserve">     </w:t>
            </w:r>
            <w:r>
              <w:rPr>
                <w:sz w:val="23"/>
                <w:szCs w:val="23"/>
                <w:shd w:fill="FFFFFF" w:val="clear"/>
              </w:rPr>
              <w:t>- уполномоченное лицо, действующее на основании доверенности от правообладателя.</w:t>
            </w:r>
          </w:p>
          <w:p>
            <w:pPr>
              <w:pStyle w:val="NormalWeb"/>
              <w:shd w:val="clear" w:color="auto" w:fill="FFFFFF"/>
              <w:spacing w:beforeAutospacing="0" w:before="0" w:afterAutospacing="0" w:after="120"/>
              <w:ind w:left="130" w:right="176" w:firstLine="284"/>
              <w:jc w:val="both"/>
              <w:rPr>
                <w:sz w:val="23"/>
                <w:szCs w:val="23"/>
                <w:highlight w:val="white"/>
              </w:rPr>
            </w:pPr>
            <w:r>
              <w:rPr>
                <w:sz w:val="23"/>
                <w:szCs w:val="23"/>
              </w:rPr>
              <w:t xml:space="preserve">     </w:t>
            </w:r>
            <w:r>
              <w:rPr>
                <w:sz w:val="23"/>
                <w:szCs w:val="23"/>
              </w:rPr>
              <w:t>Уполномоченное лицо к декларации представляет доверенность или иной подтверждающий полномочия документ.</w:t>
            </w:r>
            <w:r>
              <w:rPr>
                <w:sz w:val="23"/>
                <w:szCs w:val="23"/>
                <w:shd w:fill="FFFFFF" w:val="clear"/>
              </w:rPr>
              <w:t xml:space="preserve"> 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ind w:left="130" w:right="176" w:firstLine="286"/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3"/>
                <w:szCs w:val="23"/>
                <w:lang w:eastAsia="ru-RU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  <w:sz w:val="23"/>
                <w:szCs w:val="23"/>
                <w:lang w:eastAsia="ru-RU"/>
              </w:rPr>
              <w:t>Прием деклараций осуществляется по адресам: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ind w:left="130" w:right="176" w:firstLine="286"/>
              <w:rPr>
                <w:rFonts w:ascii="Times New Roman" w:hAnsi="Times New Roman" w:eastAsia="Times New Roman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3"/>
                <w:szCs w:val="23"/>
                <w:lang w:eastAsia="ru-RU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  <w:bCs/>
                <w:sz w:val="23"/>
                <w:szCs w:val="23"/>
                <w:lang w:eastAsia="ru-RU"/>
              </w:rPr>
              <w:t xml:space="preserve">460021, г.Оренбург, проезд Майский, 11 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ind w:left="130" w:right="176" w:firstLine="286"/>
              <w:rPr>
                <w:rFonts w:ascii="Times New Roman" w:hAnsi="Times New Roman" w:eastAsia="Times New Roman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3"/>
                <w:szCs w:val="23"/>
                <w:shd w:fill="FFFFFF" w:val="clear"/>
                <w:lang w:eastAsia="ru-RU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  <w:sz w:val="23"/>
                <w:szCs w:val="23"/>
                <w:shd w:fill="FFFFFF" w:val="clear"/>
                <w:lang w:eastAsia="ru-RU"/>
              </w:rPr>
              <w:t>461040, г.Бузулук, ул. 1-й мкр, 30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ind w:left="130" w:right="176" w:firstLine="286"/>
              <w:rPr>
                <w:rFonts w:ascii="Times New Roman" w:hAnsi="Times New Roman" w:eastAsia="Times New Roman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3"/>
                <w:szCs w:val="23"/>
                <w:shd w:fill="FFFFFF" w:val="clear"/>
                <w:lang w:eastAsia="ru-RU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  <w:sz w:val="23"/>
                <w:szCs w:val="23"/>
                <w:shd w:fill="FFFFFF" w:val="clear"/>
                <w:lang w:eastAsia="ru-RU"/>
              </w:rPr>
              <w:t>462403, г.Орск, ул. Школьная, 13 А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ind w:left="130" w:right="176" w:firstLine="286"/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3"/>
                <w:szCs w:val="23"/>
                <w:lang w:eastAsia="ru-RU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  <w:sz w:val="23"/>
                <w:szCs w:val="23"/>
                <w:lang w:eastAsia="ru-RU"/>
              </w:rPr>
              <w:t>График работы:</w:t>
            </w:r>
          </w:p>
          <w:p>
            <w:pPr>
              <w:pStyle w:val="Normal"/>
              <w:shd w:val="clear" w:color="auto" w:fill="FFFFFF"/>
              <w:spacing w:lineRule="auto" w:line="240" w:before="0" w:after="240"/>
              <w:ind w:left="130" w:right="176" w:firstLine="284"/>
              <w:jc w:val="both"/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3"/>
                <w:szCs w:val="23"/>
                <w:lang w:eastAsia="ru-RU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  <w:bCs/>
                <w:sz w:val="23"/>
                <w:szCs w:val="23"/>
                <w:lang w:eastAsia="ru-RU"/>
              </w:rPr>
              <w:t>пн.-чт. с 9.00 до 18.00, пт. с 9.00 до 17.00, обеденный перерыв с 13.00 до 13.48</w:t>
            </w:r>
            <w:r>
              <w:rPr>
                <w:rFonts w:eastAsia="Times New Roman" w:cs="Times New Roman" w:ascii="Times New Roman" w:hAnsi="Times New Roman"/>
                <w:sz w:val="23"/>
                <w:szCs w:val="23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ind w:left="130" w:right="176" w:firstLine="286"/>
              <w:jc w:val="both"/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3"/>
                <w:szCs w:val="23"/>
                <w:shd w:fill="FFFFFF" w:val="clear"/>
                <w:lang w:eastAsia="ru-RU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  <w:sz w:val="23"/>
                <w:szCs w:val="23"/>
                <w:shd w:fill="FFFFFF" w:val="clear"/>
                <w:lang w:eastAsia="ru-RU"/>
              </w:rPr>
              <w:t>Подать декларацию также можно:</w:t>
            </w:r>
          </w:p>
          <w:p>
            <w:pPr>
              <w:pStyle w:val="Normal"/>
              <w:spacing w:lineRule="auto" w:line="240" w:before="0" w:after="0"/>
              <w:ind w:left="130" w:right="176" w:firstLine="286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3"/>
                <w:szCs w:val="23"/>
                <w:shd w:fill="FFFFFF" w:val="clear"/>
                <w:lang w:eastAsia="ru-RU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  <w:sz w:val="23"/>
                <w:szCs w:val="23"/>
                <w:shd w:fill="FFFFFF" w:val="clear"/>
                <w:lang w:eastAsia="ru-RU"/>
              </w:rPr>
              <w:t xml:space="preserve">- в форме электронного документа, подписанного ЭЦП, на адрес электронной почты </w:t>
            </w:r>
            <w:hyperlink r:id="rId5">
              <w:r>
                <w:rPr>
                  <w:rStyle w:val="Style13"/>
                  <w:rFonts w:eastAsia="Times New Roman" w:cs="Times New Roman" w:ascii="Times New Roman" w:hAnsi="Times New Roman"/>
                  <w:sz w:val="23"/>
                  <w:szCs w:val="23"/>
                  <w:shd w:fill="FFFFFF" w:val="clear"/>
                  <w:lang w:eastAsia="ru-RU"/>
                </w:rPr>
                <w:t>info@gkc.orb.ru</w:t>
              </w:r>
            </w:hyperlink>
            <w:r>
              <w:rPr>
                <w:rFonts w:eastAsia="Times New Roman" w:cs="Times New Roman" w:ascii="Times New Roman" w:hAnsi="Times New Roman"/>
                <w:sz w:val="23"/>
                <w:szCs w:val="23"/>
                <w:shd w:fill="FFFFFF" w:val="clear"/>
                <w:lang w:eastAsia="ru-RU"/>
              </w:rPr>
              <w:t>;</w:t>
            </w:r>
          </w:p>
          <w:p>
            <w:pPr>
              <w:pStyle w:val="Normal"/>
              <w:spacing w:lineRule="auto" w:line="240" w:before="0" w:after="0"/>
              <w:ind w:left="130" w:right="176" w:firstLine="286"/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3"/>
                <w:szCs w:val="23"/>
                <w:shd w:fill="FFFFFF" w:val="clear"/>
                <w:lang w:eastAsia="ru-RU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  <w:sz w:val="23"/>
                <w:szCs w:val="23"/>
                <w:shd w:fill="FFFFFF" w:val="clear"/>
                <w:lang w:eastAsia="ru-RU"/>
              </w:rPr>
              <w:t xml:space="preserve">- почтовым отправлением с уведомлением о вручении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3"/>
                <w:szCs w:val="23"/>
                <w:lang w:eastAsia="ru-RU"/>
              </w:rPr>
              <w:t>по адресу: 460021, г.Оренбург,                         проезд Майский, 11, 4 этаж.</w:t>
            </w:r>
          </w:p>
          <w:p>
            <w:pPr>
              <w:pStyle w:val="Normal"/>
              <w:spacing w:lineRule="auto" w:line="240" w:before="0" w:after="0"/>
              <w:ind w:left="130" w:right="176" w:firstLine="286"/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3"/>
                <w:szCs w:val="23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ind w:left="130" w:right="176" w:firstLine="286"/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3"/>
                <w:szCs w:val="23"/>
                <w:lang w:eastAsia="ru-RU"/>
              </w:rPr>
            </w:r>
          </w:p>
          <w:p>
            <w:pPr>
              <w:pStyle w:val="Style41"/>
              <w:widowControl/>
              <w:spacing w:lineRule="auto" w:line="240"/>
              <w:ind w:left="130" w:right="176" w:firstLine="286"/>
              <w:jc w:val="both"/>
              <w:rPr>
                <w:sz w:val="23"/>
                <w:szCs w:val="23"/>
                <w:shd w:fill="FFFFFF" w:val="clear"/>
              </w:rPr>
            </w:pPr>
            <w:r>
              <w:rPr>
                <w:sz w:val="23"/>
                <w:szCs w:val="23"/>
                <w:shd w:fill="FFFFFF" w:val="clear"/>
              </w:rPr>
            </w:r>
          </w:p>
          <w:p>
            <w:pPr>
              <w:pStyle w:val="Style41"/>
              <w:widowControl/>
              <w:spacing w:lineRule="auto" w:line="240"/>
              <w:ind w:left="130" w:right="176" w:firstLine="286"/>
              <w:jc w:val="both"/>
              <w:rPr>
                <w:sz w:val="23"/>
                <w:szCs w:val="23"/>
                <w:highlight w:val="white"/>
              </w:rPr>
            </w:pPr>
            <w:r>
              <w:rPr>
                <w:sz w:val="23"/>
                <w:szCs w:val="23"/>
                <w:shd w:fill="FFFFFF" w:val="clear"/>
              </w:rPr>
              <w:t>Срок рассмотрения - в течение 50 рабочих дней с даты регистрации декларации в Учреждении.</w:t>
            </w:r>
          </w:p>
          <w:p>
            <w:pPr>
              <w:pStyle w:val="NormalWeb"/>
              <w:shd w:val="clear" w:color="auto" w:fill="FFFFFF"/>
              <w:tabs>
                <w:tab w:val="left" w:pos="8715" w:leader="none"/>
              </w:tabs>
              <w:spacing w:beforeAutospacing="0" w:before="0" w:afterAutospacing="0" w:after="0"/>
              <w:ind w:firstLine="709"/>
              <w:rPr>
                <w:b/>
                <w:b/>
                <w:sz w:val="23"/>
                <w:szCs w:val="23"/>
              </w:rPr>
            </w:pPr>
            <w:r>
              <w:rPr/>
            </w:r>
          </w:p>
          <w:p>
            <w:pPr>
              <w:pStyle w:val="NormalWeb"/>
              <w:shd w:val="clear" w:color="auto" w:fill="FFFFFF"/>
              <w:tabs>
                <w:tab w:val="left" w:pos="8715" w:leader="none"/>
              </w:tabs>
              <w:spacing w:beforeAutospacing="0" w:before="0" w:afterAutospacing="0" w:after="0"/>
              <w:ind w:firstLine="709"/>
              <w:rPr/>
            </w:pPr>
            <w:r>
              <w:rPr>
                <w:b/>
                <w:sz w:val="23"/>
                <w:szCs w:val="23"/>
              </w:rPr>
              <w:tab/>
            </w:r>
          </w:p>
          <w:p>
            <w:pPr>
              <w:pStyle w:val="NormalWeb"/>
              <w:shd w:val="clear" w:color="auto" w:fill="FFFFFF"/>
              <w:spacing w:beforeAutospacing="0" w:before="0" w:afterAutospacing="0" w:after="0"/>
              <w:ind w:firstLine="709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23"/>
                <w:szCs w:val="23"/>
              </w:rPr>
              <w:t xml:space="preserve">                    </w:t>
            </w:r>
            <w:r>
              <w:rPr>
                <w:b/>
                <w:sz w:val="23"/>
                <w:szCs w:val="23"/>
              </w:rPr>
              <w:t>По имеющимся вопросам обращаться по тел. 8 (3532) 43-21-75</w:t>
            </w:r>
          </w:p>
        </w:tc>
      </w:tr>
    </w:tbl>
    <w:p>
      <w:pPr>
        <w:pStyle w:val="Style41"/>
        <w:widowControl/>
        <w:spacing w:lineRule="exact" w:line="317"/>
        <w:ind w:right="282" w:hanging="0"/>
        <w:jc w:val="both"/>
        <w:rPr/>
      </w:pPr>
      <w:r>
        <w:rPr/>
      </w:r>
    </w:p>
    <w:sectPr>
      <w:type w:val="nextPage"/>
      <w:pgSz w:w="11906" w:h="16838"/>
      <w:pgMar w:left="737" w:right="737" w:header="0" w:top="677" w:footer="0" w:bottom="677" w:gutter="0"/>
      <w:pgBorders w:display="allPages" w:offsetFrom="text">
        <w:top w:val="single" w:sz="36" w:space="1" w:color="FF0000"/>
        <w:left w:val="single" w:sz="36" w:space="4" w:color="FF0000"/>
        <w:bottom w:val="single" w:sz="36" w:space="1" w:color="FF0000"/>
        <w:right w:val="single" w:sz="36" w:space="4" w:color="FF0000"/>
      </w:pgBorders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Segoe U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5262e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paragraph" w:styleId="2">
    <w:name w:val="Heading 2"/>
    <w:basedOn w:val="Normal"/>
    <w:link w:val="20"/>
    <w:uiPriority w:val="9"/>
    <w:semiHidden/>
    <w:unhideWhenUsed/>
    <w:qFormat/>
    <w:rsid w:val="00c5262e"/>
    <w:pPr>
      <w:keepNext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c5262e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character" w:styleId="Style13">
    <w:name w:val="Интернет-ссылка"/>
    <w:basedOn w:val="DefaultParagraphFont"/>
    <w:uiPriority w:val="99"/>
    <w:unhideWhenUsed/>
    <w:rsid w:val="006b32d6"/>
    <w:rPr>
      <w:color w:val="0563C1" w:themeColor="hyperlink"/>
      <w:u w:val="single"/>
    </w:rPr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bc24c4"/>
    <w:rPr>
      <w:rFonts w:ascii="Segoe UI" w:hAnsi="Segoe UI" w:cs="Segoe UI"/>
      <w:sz w:val="18"/>
      <w:szCs w:val="18"/>
    </w:rPr>
  </w:style>
  <w:style w:type="character" w:styleId="Style15" w:customStyle="1">
    <w:name w:val="Основной текст с отступом Знак"/>
    <w:basedOn w:val="DefaultParagraphFont"/>
    <w:link w:val="a7"/>
    <w:qFormat/>
    <w:rsid w:val="00945ece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ListLabel1">
    <w:name w:val="ListLabel 1"/>
    <w:qFormat/>
    <w:rPr>
      <w:sz w:val="20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Style41" w:customStyle="1">
    <w:name w:val="Style4"/>
    <w:basedOn w:val="Normal"/>
    <w:uiPriority w:val="99"/>
    <w:qFormat/>
    <w:rsid w:val="00c5262e"/>
    <w:pPr>
      <w:widowControl w:val="false"/>
      <w:spacing w:lineRule="exact" w:line="324" w:before="0" w:after="0"/>
      <w:ind w:firstLine="69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qFormat/>
    <w:rsid w:val="00c5262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bc24c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1">
    <w:name w:val="Body Text Indent"/>
    <w:basedOn w:val="Normal"/>
    <w:link w:val="a8"/>
    <w:rsid w:val="00945ece"/>
    <w:pPr>
      <w:spacing w:lineRule="auto" w:line="240" w:before="0" w:after="0"/>
      <w:ind w:firstLine="540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goskadocentr.orb.ru/sites/default/files/documents/gko/&#1055;&#1088;&#1080;&#1082;&#1072;&#1079; &#1052;&#1080;&#1085;&#1101;&#1082;&#1086;&#1085;&#1086;&#1084;&#1088;&#1072;&#1079;&#1074;&#1080;&#1090;&#1080;&#1103; &#1056;&#1086;&#1089;&#1089;&#1080;&#1080; &#1086;&#1090; 04.06.2019 N 318  &#1054;&#1073; &#1091;&#1090;&#1074;&#1077;.rtf" TargetMode="External"/><Relationship Id="rId4" Type="http://schemas.openxmlformats.org/officeDocument/2006/relationships/hyperlink" Target="http://goskadocentr.orb.ru/deklaracii" TargetMode="External"/><Relationship Id="rId5" Type="http://schemas.openxmlformats.org/officeDocument/2006/relationships/hyperlink" Target="mailto:info@gkc.orb.ru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832E0-C643-4A4C-B338-B14AA4627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Application>LibreOffice/5.3.0.3$Windows_X86_64 LibreOffice_project/7074905676c47b82bbcfbea1aeefc84afe1c50e1</Application>
  <Pages>1</Pages>
  <Words>241</Words>
  <Characters>1718</Characters>
  <CharactersWithSpaces>2075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2017-10-03T11:15:00Z</dcterms:created>
  <dc:creator>Пользователь Windows</dc:creator>
  <dc:description/>
  <dc:language>ru-RU</dc:language>
  <cp:lastModifiedBy/>
  <cp:lastPrinted>2020-10-08T10:00:52Z</cp:lastPrinted>
  <dcterms:modified xsi:type="dcterms:W3CDTF">2020-10-08T10:01:13Z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