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firstLine="709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ОТЧЕТ</w:t>
      </w:r>
    </w:p>
    <w:p>
      <w:pPr>
        <w:pStyle w:val="Normal"/>
        <w:spacing w:lineRule="auto" w:line="240" w:before="0" w:after="0"/>
        <w:ind w:firstLine="709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главы муниципального образования Залесовский сельсовет</w:t>
      </w:r>
    </w:p>
    <w:p>
      <w:pPr>
        <w:pStyle w:val="Normal"/>
        <w:spacing w:lineRule="auto" w:line="240" w:before="0" w:after="0"/>
        <w:ind w:firstLine="709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результатах своей деятельности, деятельности администрации</w:t>
      </w:r>
    </w:p>
    <w:p>
      <w:pPr>
        <w:pStyle w:val="Normal"/>
        <w:spacing w:lineRule="auto" w:line="240" w:before="0" w:after="0"/>
        <w:ind w:firstLine="709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сельсовета за 2021год и задачах на 2022год</w:t>
      </w:r>
    </w:p>
    <w:p>
      <w:pPr>
        <w:pStyle w:val="Normal"/>
        <w:spacing w:lineRule="auto" w:line="240" w:before="0" w:after="0"/>
        <w:ind w:firstLine="709"/>
        <w:jc w:val="center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center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Уважаемые жители сельсовета, приглашенные.</w:t>
      </w:r>
    </w:p>
    <w:p>
      <w:pPr>
        <w:pStyle w:val="Normal"/>
        <w:spacing w:lineRule="auto" w:line="240" w:before="0" w:after="0"/>
        <w:ind w:firstLine="709"/>
        <w:jc w:val="center"/>
        <w:textAlignment w:val="top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cs="Times New Roman" w:ascii="Times New Roman" w:hAnsi="Times New Roman"/>
          <w:color w:val="00000A"/>
          <w:sz w:val="28"/>
          <w:szCs w:val="28"/>
        </w:rPr>
        <w:t>Ежегодно Совет депутатов и администрация МО проводит отчеты перед населением о проделанной работе за прошедший год, целью которого так же является определение основных задач и направлений деятельности на предстоящий период, выявление существующих проблем.</w:t>
      </w:r>
    </w:p>
    <w:p>
      <w:pPr>
        <w:pStyle w:val="Normal"/>
        <w:spacing w:lineRule="auto" w:line="240" w:before="0" w:after="0"/>
        <w:ind w:firstLine="709"/>
        <w:jc w:val="both"/>
        <w:textAlignment w:val="top"/>
        <w:rPr/>
      </w:pPr>
      <w:r>
        <w:rPr>
          <w:rFonts w:cs="Times New Roman" w:ascii="Times New Roman" w:hAnsi="Times New Roman"/>
          <w:color w:val="00000A"/>
          <w:sz w:val="28"/>
          <w:szCs w:val="28"/>
        </w:rPr>
        <w:t>В соответствии с Федеральным законом от 06.10.2003 г. №131 «Об общих принципах организации местного самоуправления в Российской Федерации», Уставом муниципального образования администрация является исполнительно-распорядительным органом местного самоуправления на территории муниципального образования и наделена полномочиями по решению вопросов местного значения, а также полномочиями по осуществлению государственных полномочий, переданных федеральными и региональными законами.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color w:val="00000A"/>
          <w:sz w:val="28"/>
          <w:szCs w:val="28"/>
        </w:rPr>
        <w:t>Выполнение этих полномочий имело определенную строгую направленность: эффективное использование имеющихся в сельсовете ресурсов и бюджетных средств. Были определены приоритеты в работе администрации по мере их актуальности и остроты: в первую очередь вопросы жилищно-коммунального хозяйства, организация уличного освещения, водоснабжения, электроснабжения. В соответствии с полномочиями  построен мой отчет:</w:t>
      </w:r>
    </w:p>
    <w:p>
      <w:pPr>
        <w:pStyle w:val="Normal"/>
        <w:spacing w:lineRule="auto" w:line="240" w:before="0" w:after="0"/>
        <w:ind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cs="Times New Roman" w:ascii="Times New Roman" w:hAnsi="Times New Roman"/>
          <w:color w:val="00000A"/>
          <w:sz w:val="28"/>
          <w:szCs w:val="28"/>
        </w:rPr>
        <w:t>Основные вопросы, которые всегда затрагиваются в отчетах администрации за прошедший период - это исполнение бюджета по доходам и расходам.</w:t>
      </w:r>
    </w:p>
    <w:p>
      <w:pPr>
        <w:pStyle w:val="Normal"/>
        <w:spacing w:lineRule="auto" w:line="240" w:before="0" w:after="0"/>
        <w:ind w:hanging="0"/>
        <w:jc w:val="both"/>
        <w:textAlignment w:val="top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Формирование и исполнение бюджета поселения</w:t>
      </w:r>
    </w:p>
    <w:p>
      <w:pPr>
        <w:pStyle w:val="Normal"/>
        <w:spacing w:lineRule="auto" w:line="240" w:before="0" w:after="0"/>
        <w:ind w:firstLine="709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и управление муниципальным имуществом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Составление и рассмотрение проекта местного бюджета, утверждение и  осуществление контроля за его исполнением, составление и утверждение отчета об исполнении местного бюджета осуществляются Советом депутатов и администрацией муниципального образования  с соблюдением требований, установленных Бюджетным кодексом Российской Федерации, а также исполнение и использование бюджетных средств проверяется контрольно – счетной палатой Красногвардейского района, делаются экспертные заключения на проекты решения Совета депутатов проверяется исполнимость доходной части  бюджета и расходы бюджета.</w:t>
      </w:r>
      <w:r>
        <w:rPr>
          <w:rFonts w:cs="Times New Roman" w:ascii="Times New Roman" w:hAnsi="Times New Roman"/>
          <w:color w:val="00000A"/>
          <w:sz w:val="28"/>
          <w:szCs w:val="28"/>
        </w:rPr>
        <w:t xml:space="preserve">  Все расходы осуществляются в соответствии с программно-целевым методом планирования.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Штатная структура администрации за 2021 году не изменена. </w:t>
      </w:r>
    </w:p>
    <w:p>
      <w:pPr>
        <w:pStyle w:val="Normal"/>
        <w:spacing w:lineRule="auto" w:line="240" w:before="0" w:after="0"/>
        <w:ind w:firstLine="709"/>
        <w:jc w:val="center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center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center"/>
        <w:textAlignment w:val="top"/>
        <w:rPr/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Доходная часть бюджета исполнена в сумме</w:t>
      </w:r>
    </w:p>
    <w:p>
      <w:pPr>
        <w:pStyle w:val="Normal"/>
        <w:spacing w:lineRule="auto" w:line="240" w:before="0" w:after="0"/>
        <w:ind w:firstLine="709"/>
        <w:jc w:val="center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/>
      </w:r>
    </w:p>
    <w:tbl>
      <w:tblPr>
        <w:tblStyle w:val="af2"/>
        <w:tblW w:w="9322" w:type="dxa"/>
        <w:jc w:val="left"/>
        <w:tblInd w:w="14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28"/>
        <w:gridCol w:w="1308"/>
        <w:gridCol w:w="1188"/>
        <w:gridCol w:w="1498"/>
      </w:tblGrid>
      <w:tr>
        <w:trPr>
          <w:trHeight w:val="68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Наименование показателя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Утвержденные бюджетные назначения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Исполнено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Неисполненные назначения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4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Доходы бюджета - всего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6 332 161,00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6 092 286,61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239 874,39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в том числе: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НАЛОГОВЫЕ И НЕНАЛОГОВЫЕ ДОХОДЫ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3 303 883,00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3 064 339,07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239 543,93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НАЛОГИ НА ПРИБЫЛЬ, ДОХОДЫ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183 383,00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165 617,43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17 765,57</w:t>
            </w:r>
          </w:p>
        </w:tc>
      </w:tr>
      <w:tr>
        <w:trPr>
          <w:trHeight w:val="408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400,00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381,87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18,13</w:t>
            </w:r>
          </w:p>
        </w:tc>
      </w:tr>
      <w:tr>
        <w:trPr>
          <w:trHeight w:val="612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355,35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408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447 300,00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455 885,90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НАЛОГИ НА СОВОКУПНЫЙ ДОХОД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54 000,00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54 122,18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НАЛОГИ НА ИМУЩЕСТВО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329 300,00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327 035,59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2 264,41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Налог на имущество физических лиц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8 000,00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8 407,63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Земельный налог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321 300,00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318 627,96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2 672,04</w:t>
            </w:r>
          </w:p>
        </w:tc>
      </w:tr>
      <w:tr>
        <w:trPr>
          <w:trHeight w:val="612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312 735,92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408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1 454,04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ГОСУДАРСТВЕННАЯ ПОШЛИНА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8 000,00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8 100,00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408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-110,60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408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b/>
                <w:b/>
                <w:sz w:val="16"/>
                <w:szCs w:val="16"/>
                <w:lang w:eastAsia="hi-IN" w:bidi="hi-IN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eastAsia="hi-IN" w:bidi="hi-I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1 838 100,00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1 610 365,78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227 734,22</w:t>
            </w:r>
          </w:p>
        </w:tc>
      </w:tr>
      <w:tr>
        <w:trPr>
          <w:trHeight w:val="662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Доходы, получаемые в виде арендной платы за земли после разграничения государственной собственности на землю учреждений)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1 734 700,00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1 511 235,78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223 464,22</w:t>
            </w:r>
          </w:p>
        </w:tc>
      </w:tr>
      <w:tr>
        <w:trPr>
          <w:trHeight w:val="470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 xml:space="preserve">Доходы от сдачи в аренду имущества, находящегося в оперативном управлении органов государственной власти, 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103 400,00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99 130,00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4 270,00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b/>
                <w:b/>
                <w:sz w:val="18"/>
                <w:szCs w:val="18"/>
                <w:lang w:eastAsia="hi-IN" w:bidi="hi-IN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eastAsia="hi-IN" w:bidi="hi-IN"/>
              </w:rPr>
              <w:t>ШТРАФЫ, САНКЦИИ, ВОЗМЕЩЕНИЕ УЩЕРБА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2 500,00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2 457,79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42,21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b/>
                <w:b/>
                <w:sz w:val="18"/>
                <w:szCs w:val="18"/>
                <w:lang w:eastAsia="hi-IN" w:bidi="hi-IN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eastAsia="hi-IN" w:bidi="hi-IN"/>
              </w:rPr>
              <w:t>ПРОЧИЕ НЕНАЛОГОВЫЕ ДОХОДЫ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441 300,00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440 865,00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435,00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Инициативные платежи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441 300,00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440 865,00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435,00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БЕЗВОЗМЕЗДНЫЕ ПОСТУПЛЕНИЯ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3 028 278,00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3 027 947,54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330,46</w:t>
            </w:r>
          </w:p>
        </w:tc>
      </w:tr>
      <w:tr>
        <w:trPr>
          <w:trHeight w:val="408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2 777 361,00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2 776 557,54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803,46</w:t>
            </w:r>
          </w:p>
        </w:tc>
      </w:tr>
      <w:tr>
        <w:trPr>
          <w:trHeight w:val="408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125 300,00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125 300,00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1 061 900,00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1 061 900,00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1 188 200,00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1 187 396,54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803,46</w:t>
            </w:r>
          </w:p>
        </w:tc>
      </w:tr>
      <w:tr>
        <w:trPr>
          <w:trHeight w:val="408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218 100,00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218 039,54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60,46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Прочие субсидии бюджетам сельских поселений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970 100,00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969 357,00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743,00</w:t>
            </w:r>
          </w:p>
        </w:tc>
      </w:tr>
      <w:tr>
        <w:trPr>
          <w:trHeight w:val="408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101 961,00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101 961,00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Иные межбюджетные трансферты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300 000,00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300 000,00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53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b/>
                <w:b/>
                <w:sz w:val="18"/>
                <w:szCs w:val="18"/>
                <w:lang w:eastAsia="hi-IN" w:bidi="hi-IN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  <w:lang w:eastAsia="hi-IN" w:bidi="hi-IN"/>
              </w:rPr>
              <w:t>ПРОЧИЕ БЕЗВОЗМЕЗДНЫЕ ПОСТУПЛЕНИЯ</w:t>
            </w:r>
          </w:p>
        </w:tc>
        <w:tc>
          <w:tcPr>
            <w:tcW w:w="130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lang w:eastAsia="hi-IN" w:bidi="hi-IN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hi-IN" w:bidi="hi-IN"/>
              </w:rPr>
              <w:t>250 917,00</w:t>
            </w:r>
          </w:p>
        </w:tc>
        <w:tc>
          <w:tcPr>
            <w:tcW w:w="11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rFonts w:ascii="Times New Roman" w:hAnsi="Times New Roman" w:cs="Times New Roman"/>
                <w:b/>
                <w:b/>
                <w:lang w:eastAsia="hi-IN" w:bidi="hi-I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251 390,00</w:t>
            </w:r>
          </w:p>
        </w:tc>
        <w:tc>
          <w:tcPr>
            <w:tcW w:w="149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center"/>
              <w:textAlignment w:val="top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eastAsia="hi-IN" w:bidi="hi-IN"/>
              </w:rPr>
              <w:t>0,00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 xml:space="preserve">Доходная часть бюджета исполнена на 96,2 % - общий объем доходов составил </w:t>
      </w:r>
      <w:r>
        <w:rPr>
          <w:rFonts w:cs="Times New Roman" w:ascii="Times New Roman" w:hAnsi="Times New Roman"/>
          <w:b w:val="false"/>
          <w:bCs w:val="false"/>
          <w:color w:val="00000A"/>
          <w:sz w:val="26"/>
          <w:szCs w:val="26"/>
          <w:lang w:eastAsia="hi-IN" w:bidi="hi-IN"/>
        </w:rPr>
        <w:t>- 6 092 286,61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sz w:val="26"/>
          <w:szCs w:val="26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Темп роста налоговых доходов к уровню 2020 года составил 219,5% (в 2020 году налоговых доходов поступило - 1194,9тыс. руб. то в 2021 году - 2623,1 тыс. руб.) Это хороший показатель.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В структуре собственных доходов наибольшую долю составляют: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sz w:val="26"/>
          <w:szCs w:val="26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 xml:space="preserve">- НДФЛ исполнен на </w:t>
      </w: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-</w:t>
      </w: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 xml:space="preserve"> 90,4%.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sz w:val="26"/>
          <w:szCs w:val="26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- по акцизам и подакцизным товарам на 101,9%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color w:val="00000A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- по налогу на имущество - 105,1 %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- по государственной пошлине -101,2%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- земельный налог-99,2%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- аренда земли - 87%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- аренда имущества - 95,9%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sz w:val="26"/>
          <w:szCs w:val="26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- инициативные платежи - 99,9%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color w:val="00000A"/>
          <w:sz w:val="26"/>
          <w:szCs w:val="26"/>
          <w:lang w:eastAsia="hi-IN" w:bidi="hi-IN"/>
        </w:rPr>
        <w:t>Расходная часть бюджета исполнена в сумме 5 695548руб.коп. % исполнения - 92,2%.</w:t>
      </w:r>
    </w:p>
    <w:p>
      <w:pPr>
        <w:pStyle w:val="Normal"/>
        <w:spacing w:lineRule="auto" w:line="240" w:before="0" w:after="0"/>
        <w:ind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color w:val="00000A"/>
          <w:sz w:val="28"/>
          <w:szCs w:val="28"/>
          <w:lang w:eastAsia="hi-IN" w:bidi="hi-IN"/>
        </w:rPr>
      </w:r>
    </w:p>
    <w:tbl>
      <w:tblPr>
        <w:tblStyle w:val="af2"/>
        <w:tblW w:w="9312" w:type="dxa"/>
        <w:jc w:val="left"/>
        <w:tblInd w:w="15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24"/>
        <w:gridCol w:w="1524"/>
        <w:gridCol w:w="1320"/>
        <w:gridCol w:w="1644"/>
      </w:tblGrid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 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</w:r>
          </w:p>
        </w:tc>
      </w:tr>
      <w:tr>
        <w:trPr>
          <w:trHeight w:val="792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Наименование показателя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Утвержденные бюджетные назначения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Исполнено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Не исполненные</w:t>
            </w: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 xml:space="preserve"> назначения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4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Расходы бюджета - всего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6 182 661,00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5695548,53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487 112,47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в том числе: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 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 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firstLine="709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ОБЩЕГОСУДАРСТВЕННЫЕ ВОПРОСЫ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1 307 800,00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1 064 503,14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243 296,86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435 400,00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431 131,70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4 268,30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Фонд оплаты труда государственных (муниципальных) органов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334 000,00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332 058,37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1 941,63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101 400,00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99 073,33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2 326,67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872 400,00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633 371,44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239 028,56</w:t>
            </w:r>
          </w:p>
        </w:tc>
      </w:tr>
      <w:tr>
        <w:trPr>
          <w:trHeight w:val="612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250 500,00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250 315,61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184,39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250 500,00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250 315,61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184,39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Фонд оплаты труда государственных (муниципальных) органов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192 500,00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192 430,47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69,53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58 000,00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57 885,14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114,86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617 500,00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379 365,43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238 134,57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617 500,00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379 365,43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238 134,57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56 500,00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50 302,70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6 197,30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Прочая закупка товаров, работ и услуг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459 300,00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253 132,42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206 167,58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Закупка энергетических ресурсов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101 700,00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75 930,31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25 769,69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Уплата налогов, сборов и иных платежей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4 400,00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3 690,40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709,60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Уплата прочих налогов, сборов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2 900,00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2 860,00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40,00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Уплата иных платежей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830,40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669,60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101 961,00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101 961,00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612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91 188,23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91 188,23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Фонд оплаты труда государственных (муниципальных) органов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70 037,24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70 037,24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21 150,99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21 150,99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10 772,77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10 772,77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НАЦИОНАЛЬНАЯ БЕЗОПАСНОСТЬ И ПРАВООХРАНИТЕЛЬНАЯ ДЕЯТЕЛЬНОСТЬ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274 500,00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244 751,15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29 748,85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273 000,00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244 751,15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28 248,85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НАЦИОНАЛЬНАЯ ЭКОНОМИКА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771 900,00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696 205,38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75 694,62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Дорожное хозяйство (дорожные фонды)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760 900,00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695 205,38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65 694,62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313 600,00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311 541,00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2 059,00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Другие вопросы в области национальной экономики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11 000,00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1 000,00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10 000,00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ЖИЛИЩНО-КОММУНАЛЬНОЕ ХОЗЯЙСТВО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2 532 161,00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2 496 968,54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35 192,46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2 308 161,00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2 281 912,64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26 248,36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Основное мероприятие "Мероприятия в области коммунального хозяйства"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702 517,00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677 015,34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25 501,66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23 000,00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21 799,34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1 200,66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21 800,00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21 799,34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0,66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Прочая закупка товаров, работ и услуг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1 200,00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1 200,00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Содержание объектов коммунальной инфраструктуры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291 400,00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291 099,00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301,00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Прочая закупка товаров, работ и услуг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8 000,00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8 000,00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Закупка энергетических ресурсов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283 400,00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283 099,00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301,00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Расходы на реализацию проекта «Народный бюджет»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388 117,00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364 117,00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24 000,00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Реализация инициативных роектов (Приобретение коммунальной техники)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1 605 644,00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1 604 897,30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746,70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Благоустройство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224 000,00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215 055,90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8 944,10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КУЛЬТУРА, КИНЕМАТОГРАФИЯ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861 339,00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758 159,32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103 179,68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Мероприятия в сфере культуры и кинематографии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7 200,00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7 200,00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661 339,00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565 392,82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95 946,18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Прочая закупка товаров, работ и услуг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413 466,00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318 346,92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95 119,08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Закупка энергетических ресурсов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247 873,00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247 045,90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827,10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Библиотеки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78 200,00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78 166,50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33,50</w:t>
            </w:r>
          </w:p>
        </w:tc>
      </w:tr>
      <w:tr>
        <w:trPr>
          <w:trHeight w:val="612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114 600,00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114 600,00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408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333 000,00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333 000,00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612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7 300,00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7 300,00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1020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308 000,00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308 000,00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1020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200,00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Межбюджетные трансферты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200,00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612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17 500,00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17 500,00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0,00</w:t>
            </w:r>
          </w:p>
        </w:tc>
      </w:tr>
      <w:tr>
        <w:trPr>
          <w:trHeight w:val="264" w:hRule="atLeast"/>
        </w:trPr>
        <w:tc>
          <w:tcPr>
            <w:tcW w:w="48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hanging="0"/>
              <w:jc w:val="both"/>
              <w:textAlignment w:val="top"/>
              <w:rPr/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Результат исполнения бюджета (дефицит/профицит)</w:t>
            </w:r>
          </w:p>
        </w:tc>
        <w:tc>
          <w:tcPr>
            <w:tcW w:w="152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149 500,00</w:t>
            </w:r>
          </w:p>
        </w:tc>
        <w:tc>
          <w:tcPr>
            <w:tcW w:w="132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396 738,08</w:t>
            </w:r>
          </w:p>
        </w:tc>
        <w:tc>
          <w:tcPr>
            <w:tcW w:w="164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bidi w:val="0"/>
              <w:spacing w:lineRule="auto" w:line="240" w:before="0" w:after="0"/>
              <w:ind w:left="0" w:right="0" w:hanging="0"/>
              <w:jc w:val="both"/>
              <w:textAlignment w:val="top"/>
              <w:rPr>
                <w:rFonts w:ascii="Times New Roman" w:hAnsi="Times New Roman" w:cs="Times New Roman"/>
                <w:color w:val="00000A"/>
                <w:sz w:val="20"/>
                <w:szCs w:val="20"/>
                <w:lang w:eastAsia="hi-IN" w:bidi="hi-IN"/>
              </w:rPr>
            </w:pPr>
            <w:r>
              <w:rPr>
                <w:rFonts w:cs="Times New Roman" w:ascii="Times New Roman" w:hAnsi="Times New Roman"/>
                <w:color w:val="00000A"/>
                <w:sz w:val="20"/>
                <w:szCs w:val="20"/>
                <w:lang w:eastAsia="hi-IN" w:bidi="hi-IN"/>
              </w:rPr>
              <w:t>X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>- общегосударственные вопросы 1,064,5 тыс 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>- национальная оборона-101,9 тыс . руб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 xml:space="preserve">-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>национальная безопасность и правоохранительная деятельность-244,7 тыс . руб 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color w:val="00000A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>национальная экономика (дорожное хозяйство ) -696,2, тыс . руб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color w:val="00000A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>- жилищно-коммунальное хозяйство- 2497,0. тыс . руб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color w:val="00000A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>- культура и кинематография- 758,2 тыс . руб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>- межбюджетные трансферты- 333,0 тыс . руб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>В целях снижения задолженности по налогам Администрацией</w:t>
      </w:r>
      <w:r>
        <w:rPr>
          <w:rFonts w:cs="Times New Roman" w:ascii="Times New Roman" w:hAnsi="Times New Roman"/>
          <w:i w:val="false"/>
          <w:iCs w:val="false"/>
          <w:color w:val="4F81BD" w:themeColor="accent1"/>
          <w:sz w:val="26"/>
          <w:szCs w:val="26"/>
          <w:lang w:eastAsia="hi-IN" w:bidi="hi-IN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 xml:space="preserve">сельсовета проводятся работа разъяснительного характера о недопущении нарушения сроков уплаты налогов.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Основные причины образовавшейся задолженности у граждан: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-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недобросовестность налогоплательщиков;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sz w:val="26"/>
          <w:szCs w:val="26"/>
        </w:rPr>
        <w:t>неплатежеспособность отдельных категорий граждан;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color w:val="00000A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Всего заключено 6 договоров аренды земли, находящейся в муниципальной собственности. Все договорные обязательства арендаторами исполнены кроме ИП КФХ Поликарпова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- заключено 2 договора аренды муниципального имущества.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Администрация принимает участие в различных проектах, программах и конкурсах, так называемые гранты. Это средства, которые администрации и удается привлечь дополнительно в бюджет в течение года.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Они требуют особых усилий со стороны администрации, оформления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Соответствующих пакетов документов, разработки проектно-сметной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документации. Т.е. каждый раз мы должны обосновать свою потребность в финансировании, доказать важность и необходимость этого проекта, в случае одобрения проекта представить отчеты о его реализации и т.д.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В 2021 году реализовали 3 проекта по Программам на сумму 2 280 555 рублей, что дополнительно позволило привлечь в бюджет МО 2 182 294 руб.  это средства федеральные, региональные, районные, средства спонсоров, населения.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Бюджетных средств на Программы использовано - 300 тысяч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В 2021 (для реализации в 2022году) представляли проект по программе КРСТ 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ремонт дороги по ул. Советская, но не прошли по конкурсу. Нужно больше средств собирать с населения и спонсоров.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Большая часть населения относится с пониманием и активно участвует в инициативных платежах за что всем большое спасибо.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Но не все сдают, деньги.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Для выполнения своих полномочий поселение имеет муниципальное имущество.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Все имущество и земля оформлены в муниципальную собственность кроме котельной ДК. Сейчас этой работой занимаюсь в марте- апреле 2022 года поставим на учет как объекты ранее учтенные.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lang w:eastAsia="hi-IN" w:bidi="hi-IN"/>
        </w:rPr>
        <w:t>Четвертый год подряд сработали без кредиторской заложенности как текущей, так и просроченной.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b/>
          <w:i w:val="false"/>
          <w:iCs w:val="false"/>
          <w:color w:val="00000A"/>
          <w:sz w:val="26"/>
          <w:szCs w:val="26"/>
        </w:rPr>
        <w:t>Агропромышленный комплекс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  <w:highlight w:val="white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  <w:shd w:fill="FFFFFF" w:val="clear"/>
        </w:rPr>
        <w:t>К сожалению агропромышленный комплекс не является большим сектором экономики сельсовета, а от их эффективности зависит стабильность экономической, социальной ситуации на территории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Общая площадь земель в границах Залесовского сельсовета составляет 13023,4 га, в том числе сельскохозяйственных угодий – 12240,7 га, из них пашни – 8077,7 га, сенокосов – 144,6 га и пастбищ – 3433,1 га,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Администрация сельсовета продолжает исполнять свою долю ответственности по исполнению Закона об обороте земель сельскохозяйственного назначения. Вся сельскохозяйственная земля, расположенная на территории сельсовета, находится в обработке.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Хочется отметить роль КФХ «Кристалл» которые оказывают помощь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при проведении праздников, расчистке дорог, организации похорон, реализации Программ. Мы надеемся на дальнейшее плодотворное сотрудничество.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В личных подсобных хозяйствах поголовье скота остается невысоким, хотя по сравнению с прошлым годом поголовье ненамного увеличилось (КРС на 29 голов)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КРС- 139 в т. ч коров -49, свиней -217, овец -82, птица-817 голов.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i w:val="false"/>
          <w:i w:val="false"/>
          <w:iCs w:val="false"/>
          <w:color w:val="00000A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>Организация электро, - тепло, - водо, - газоснабжения населения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Вопросы, связанные с созданием условий жизни населения в населенных пунктах поселения и с содержанием необходимой инфраструктуры, а это электроснабжение, теплоснабжение, водоснабжение, газоснабжение в соответствии с действующим законодательством являются так же вопросами местного значения поселения.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Вопросами обслуживания электроснабжения на территории поселения занимается районные электросети. Замечаний по подаваемой электроэнергии нет.  Уличное освящение в 2021 году заменили на светодиодное, качество освящения улучшилось.</w:t>
      </w:r>
    </w:p>
    <w:p>
      <w:pPr>
        <w:pStyle w:val="NormalWeb"/>
        <w:bidi w:val="0"/>
        <w:spacing w:lineRule="auto" w:line="240" w:beforeAutospacing="0" w:before="0" w:afterAutospacing="0" w:after="0"/>
        <w:ind w:left="0" w:right="0" w:firstLine="709"/>
        <w:jc w:val="both"/>
        <w:rPr>
          <w:color w:val="00000A"/>
        </w:rPr>
      </w:pPr>
      <w:r>
        <w:rPr>
          <w:rFonts w:ascii="Times New Roman" w:hAnsi="Times New Roman"/>
          <w:i w:val="false"/>
          <w:iCs w:val="false"/>
          <w:color w:val="00000A"/>
          <w:sz w:val="26"/>
          <w:szCs w:val="26"/>
        </w:rPr>
        <w:t xml:space="preserve">Что касается водоснабжения. Больших проблем с водоснабжением у населения не возникало, без воды мы не остаемся. Проблемы есть у администрации, но мы их стараемся оперативно решать. В 2021 году участвуя в Программе Народный бюджет соединили водопроводную сеть с ул. Мира т.к  на содержать скважину на 25 дворов экономически не выгодно  и население без воды нельзя оставить. </w:t>
      </w:r>
    </w:p>
    <w:p>
      <w:pPr>
        <w:pStyle w:val="NormalWeb"/>
        <w:bidi w:val="0"/>
        <w:spacing w:lineRule="auto" w:line="240" w:beforeAutospacing="0" w:before="0" w:afterAutospacing="0" w:after="0"/>
        <w:ind w:left="0" w:right="0" w:firstLine="709"/>
        <w:jc w:val="both"/>
        <w:rPr>
          <w:color w:val="00000A"/>
        </w:rPr>
      </w:pPr>
      <w:r>
        <w:rPr>
          <w:rFonts w:ascii="Times New Roman" w:hAnsi="Times New Roman"/>
          <w:i w:val="false"/>
          <w:iCs w:val="false"/>
          <w:color w:val="00000A"/>
          <w:sz w:val="26"/>
          <w:szCs w:val="26"/>
        </w:rPr>
        <w:t>Необходимо обустроить санитарную зону на скважине. Чтобы все сделать в соответствии с САНПИНОМ необходимо на одну скважину не менее 700 тыс.руб.</w:t>
      </w:r>
    </w:p>
    <w:p>
      <w:pPr>
        <w:pStyle w:val="NormalWeb"/>
        <w:bidi w:val="0"/>
        <w:spacing w:lineRule="auto" w:line="240" w:beforeAutospacing="0" w:before="0" w:afterAutospacing="0" w:after="0"/>
        <w:ind w:left="0" w:right="0" w:firstLine="709"/>
        <w:jc w:val="both"/>
        <w:rPr>
          <w:color w:val="00000A"/>
        </w:rPr>
      </w:pPr>
      <w:r>
        <w:rPr>
          <w:rFonts w:ascii="Times New Roman" w:hAnsi="Times New Roman"/>
          <w:i w:val="false"/>
          <w:iCs w:val="false"/>
          <w:color w:val="00000A"/>
          <w:sz w:val="26"/>
          <w:szCs w:val="26"/>
        </w:rPr>
        <w:t>Что касается газификации, то все домовладения газифицированы кроме 2 домов.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>Дорожная деятельность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Общая протяженность дорог составляет- 8540 метров.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Из них 2790 метров имеют гравийное покр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ытие.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Около 70 % дорог не соответствует нормативным требованиям, имеют грунтовое покрытие. В настоящее время ведутся работы по зимнему содержанию дорог расчисткой дорог по-прежнему занимается КФХ «Кристалл» с ними заключен договор. Спасибо им за оперативную расчистку дорог. Самым проблемным участком остается в котел.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i w:val="false"/>
          <w:i w:val="false"/>
          <w:iCs w:val="false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>Содержание и ремонт жилищного фонда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Жилищный фонд на территории сельсовета в основном представлен частными домовладениями.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Всего в поселении насчитывается 121 личных подсобных хозяйств. В муниципальной собственности 1 квартира и один дом.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eastAsia="Times New Roman" w:cs="Times New Roman"/>
          <w:color w:val="00000A"/>
          <w:lang w:eastAsia="ru-RU"/>
        </w:rPr>
      </w:pPr>
      <w:r>
        <w:rPr>
          <w:rFonts w:ascii="Times New Roman" w:hAnsi="Times New Roman"/>
          <w:i w:val="false"/>
          <w:iCs w:val="false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>Организация благоустройства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Советом депутатов приняты Правила благоустройства муниципального образования. Вся работа администрации по данному вопросу опирается на эти правила, и на действующее законодательство. К сожалению активность населения в этом отношении находится на низком уровне. Много домовладений имеют неприглядный вид, не покрашены заборы и фасады домов.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Для решения проблем благоустройства требуется отлаженная система и, но все же заботу о чистоте, должны проявлять сами жители.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Проблемы благоустройства 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-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 это не только финансы, но и человеческий фактор.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Казалось, что может быть проще. Мы - все жители одного сельского поселения, хотим, чтобы в селе было еще лучше, чище. Но, к сожалению, у каждого сво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й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 подход к решению этого вопроса. Кто-то борется за чистоту и порядок, вкладывая свой труд и средства, а кто-то словами и лозунгами «нам должны».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Работы у административной комиссии будет много, будем составлять протоколы за неисполнение Правил благоустройства.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В 2022 году займемся обустройством площадок ТКО . Закуплены урны для сбора мусора в количестве 20 шт. на сумму 184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С весны начнем эту работу т.к есть решение суда и его необходимо исполнить.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eastAsia="Times New Roman" w:cs="Times New Roman"/>
          <w:bCs/>
          <w:color w:val="00000A"/>
          <w:lang w:eastAsia="ru-RU"/>
        </w:rPr>
      </w:pPr>
      <w:r>
        <w:rPr>
          <w:rFonts w:ascii="Times New Roman" w:hAnsi="Times New Roman"/>
          <w:i w:val="false"/>
          <w:iCs w:val="false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 xml:space="preserve">Образование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Школа реализует программы начального, основного образования. Созданы безопасные условия для обучения и воспитания детей. Имеется достаточное кадровое обеспечение. Количество учащихся, к сожалению, уменьшается год от года. Небольшой прирост ожидается только через два года. Учебно-материальная база удовлетворяет минимальным потребностям реализуемых общеобразовательных программ. Уровень оснащённости кабинетов – 40-50% от нормы. Обеспеченность учебниками за счёт школьного фонда – 90 %. За последние пять лет много сделано: капитальный ремонт спортзала, замена окон, дверей, замена электропроводки, установка пожарной сигнализации. Нуждаются в  замене системы отопления и полы.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О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бразование наши дети получают в М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Б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О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ОШ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Залесовская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  общеобразовательная школа». Педагогический коллектив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школы возглавляет опытный руководитель 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Шишкина Татьяна Михайловна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,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 в 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школе 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18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 ученик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ов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Уровень мастерства наших преподавателей достаточно высокий, каждый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>учитель обладает мастерством педагогического искусства.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bCs/>
          <w:i w:val="false"/>
          <w:i w:val="false"/>
          <w:iCs w:val="false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</w:rPr>
        <w:t xml:space="preserve">Медицинское обслуживание </w:t>
      </w:r>
    </w:p>
    <w:p>
      <w:pPr>
        <w:pStyle w:val="Normal"/>
        <w:bidi w:val="0"/>
        <w:spacing w:lineRule="auto" w:line="240" w:before="0" w:after="0"/>
        <w:ind w:left="0" w:right="0" w:firstLine="709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 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Осуществляется ФАПом, в с. Владимировку выезжает еженедельно медработник и посещает жителей на дому. От жителей поступают предложения о том, чтобы ежемесячно приезжали узкие специалисты из участковой больницы и принимали жителей у нас в  ФАПе. Чтобы ассортимент лекарств был больше. Здание ФАПа требует капитального ремонта.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i w:val="false"/>
          <w:i w:val="false"/>
          <w:iCs w:val="false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>Торговля, бытовые услуги и услуги связи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На территории поселения имеется 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1 то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рговая точка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 снабжающая население товарами первой необходимости,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  функционирует почтовое отделение которое оказывает услуги по приему коммунальных платежей, продаже товаров первой необходимости,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зачисления платежей на мобильные телефоны и другие услуги. У населения сельсовета остается востребованной почтовая связь, которая оказывает различные услуги населению: доставку корреспонденции, пенсий, пособий,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через нее люди производят оплату налоговых и других платежей. Жители нашего села пользуются различными видами социальных выплат.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Но одной из самых значимых проблем остаётся отсутствие в селе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устойчивой мобильной связи.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Но есть уверенность в том, что во 2-3 квартале 2022 года будет и сотовая связь. Во всех населенных пунктах есть телефонные аппараты экстренной связи.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/>
          <w:i w:val="false"/>
          <w:iCs w:val="false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>Организация досуга и обеспечение жителей поселения услугами организаций культуры, организация отдыха граждан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Администрация постоянно уделяет внимание вопросам культуры и организации досуга населения. Хочется, чтобы население активнее принимало участие в проводимых мероприятиях. Все работы, которые были запланированы по ремонту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Дома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 культуры, выполнены. Наконец сделали косметический ремонт помещений. 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>Демографическая ситуация и занятость населения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За 2021 год у нас родилось 4 ребёнка (двое на территории МО проживают) умерло 9 человек.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А вообще по динамике последних десяти лет видно снижение численности населения за счет отрицательного демографического показателя.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>Занятость населения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color w:val="00000A"/>
          <w:sz w:val="26"/>
          <w:szCs w:val="26"/>
          <w:lang w:eastAsia="ru-RU"/>
        </w:rPr>
        <w:t xml:space="preserve">Занятость населения остается низкой.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Население территории поселения менее активно занимается личным подсобным хозяйством, хотя условия для содержания скота имеется. Это связано прежде всего с удорожанием кормов для скота и птицы. Кроме того, молодое поколение не хочет себя обременять ведением личного подсобного хозяйства. Администрацией поселения ведется работа по разъяснению и привлечению населения для участия в программах по развитию личного подсобного хозяйства. В январе – феврале месяце подали заявки на участие 5 чел.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i w:val="false"/>
          <w:i w:val="false"/>
          <w:iCs w:val="false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/>
      </w:pPr>
      <w:r>
        <w:rPr>
          <w:rStyle w:val="Strong"/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Социальная политика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В муниципальном образовании Залесовский сельсовет, в прочем, как и в других, есть группы населения, которые нуждаются в социальном обеспечении и защите: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инвалиды – 38 человек;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вдова умершего – 1 человек;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Почти половина населения сельсовета пользуются мерами социальной поддержки это и инвалиды всех групп, ветераны труда.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В сельсовете сейчас 1 социальный работник Растворова Людмила Алексеевна. На её обслуживании находятся 12 пенсионеров.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Надо отдать должное нашим пенсионерам, которые активно участвуют во всех мероприятиях, проходящих в сельском поселении, являясь инициаторами многих из них.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b/>
          <w:b/>
          <w:i w:val="false"/>
          <w:i w:val="false"/>
          <w:iCs w:val="false"/>
          <w:color w:val="00000A"/>
          <w:sz w:val="26"/>
          <w:szCs w:val="26"/>
        </w:rPr>
      </w:pPr>
      <w:r>
        <w:rPr>
          <w:rFonts w:cs="Times New Roman" w:ascii="Times New Roman" w:hAnsi="Times New Roman"/>
          <w:b/>
          <w:i w:val="false"/>
          <w:iCs w:val="false"/>
          <w:color w:val="00000A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b/>
          <w:i w:val="false"/>
          <w:iCs w:val="false"/>
          <w:color w:val="00000A"/>
          <w:sz w:val="26"/>
          <w:szCs w:val="26"/>
        </w:rPr>
        <w:t>ДНД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На территории сельсовета создана добровольная народная дружина, основными целями и направлениями деятельности которой являются:</w:t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Содействие органам внутренних дел (полиции) и иным правоохранительным органам в охране общественного порядка;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ежеквартально проводятся заседания комиссии по профилактике правонарушений. На учете в комиссии сейчас 1 семья.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6"/>
          <w:szCs w:val="26"/>
        </w:rPr>
      </w:r>
    </w:p>
    <w:p>
      <w:pPr>
        <w:pStyle w:val="NormalWeb"/>
        <w:bidi w:val="0"/>
        <w:spacing w:lineRule="auto" w:line="240" w:before="0" w:after="0"/>
        <w:ind w:left="0" w:right="0" w:firstLine="709"/>
        <w:jc w:val="center"/>
        <w:rPr>
          <w:b/>
          <w:b/>
          <w:bCs/>
          <w:color w:val="00000A"/>
        </w:rPr>
      </w:pPr>
      <w:r>
        <w:rPr>
          <w:rFonts w:ascii="Times New Roman" w:hAnsi="Times New Roman"/>
          <w:i w:val="false"/>
          <w:iCs w:val="false"/>
          <w:sz w:val="26"/>
          <w:szCs w:val="26"/>
        </w:rPr>
      </w:r>
    </w:p>
    <w:p>
      <w:pPr>
        <w:pStyle w:val="NormalWeb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/>
          <w:bCs/>
          <w:i w:val="false"/>
          <w:iCs w:val="false"/>
          <w:color w:val="00000A"/>
          <w:sz w:val="26"/>
          <w:szCs w:val="26"/>
        </w:rPr>
        <w:t>Общественная безопасность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Обстановка с пожарами в 2021 году несколько улучшилась. Меньше было степных пожаров, но все же остается тревожной. Порой по причине асоциальной обстановки. Учитывая серьезную обстановку, разрабатывались, доводились на совещаниях до руководителей организаций, и реализовывались планы по профилактике и предупреждению пожаров. В ходе работы профилактической группы проинструктировано под роспись 100 % населения, выданы памятки.  Активно использовались в противопожарной пропаганде средства массовой информации. Вывешивались плакаты. Раздавались памятки. Проводилась проверка состояния гидрантов. Ведется совместная работа с ЕДДС, пожарной частью, отделом ГО и ЧС администрации района по предупреждению возникновения чрезвычайных ситуаций. (ремонт автомобиля частично проведен)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Предписание отдела надзорной деятельности и профилактической работе по Сорочинскому городскому округу, Тоцкому и Красногвардейскому районам не исполнены по причине отсутствия средств в бюджете необходимо белее 2 мил. руб. чтобы исполнить все замечания.)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Добровольная пожарная дружина состоит из 2 водителей, имеется автомобиль, который базируется в теплом боксе. Запас бензина имеется, постоянно, время прибытия в любую точку населенных пунктов сельсовета в пределах нормы. Имеется мотопомпа, трансляционный усилитель для оповещения граждан.  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ind w:left="0" w:right="0" w:firstLine="709"/>
        <w:jc w:val="both"/>
        <w:rPr>
          <w:color w:val="00000A"/>
        </w:rPr>
      </w:pPr>
      <w:r>
        <w:rPr>
          <w:rFonts w:ascii="Times New Roman" w:hAnsi="Times New Roman"/>
          <w:i w:val="false"/>
          <w:iCs w:val="false"/>
          <w:color w:val="00000A"/>
          <w:sz w:val="26"/>
          <w:szCs w:val="26"/>
        </w:rPr>
        <w:t>Всегда приходят на помощь работники КФХ «Кристалл» которые оперативно выезжают практически всем коллективом и помогают в тушении пожаров.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Сейчас необходимо, чтобы в каждом домовладении был огнетушитель и    установлены пожарные из вещатели .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По профилактике терроризма и экстремизма проведены специальные инструктажи. В практике администрации поселения обязательное оповещение отдела полиции о проводимых массовых мероприятиях, установление дежурства ответственных лиц в администрации, и учреждениях. С целью реализации полномочий по профилактике терроризма принято соответствующее постановление главы и реализуется план мероприятий по профилактике терроризма разработан и утвержден паспорт  антитеррористической  безопасности на Дом культуры.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i w:val="false"/>
          <w:i w:val="false"/>
          <w:iCs w:val="false"/>
          <w:color w:val="00000A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6"/>
          <w:szCs w:val="26"/>
          <w:lang w:eastAsia="ru-RU"/>
        </w:rPr>
        <w:t>Работа с обращениями граждан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Администрация поселения ведется планомерно работала с обращениями граждан. Всего за 2021 год поступил 86 обращений граждан разного характера. Одно не исполнено вырубка деревьев.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i w:val="false"/>
          <w:i w:val="false"/>
          <w:iCs w:val="false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rong"/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Правовая и информационная службы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В 2020 году проведено 9 заседаний Совета депутатов муниципального образования. На которых рассмотрено 37 вопросов, издано и подписано 91 постановление, 29 распоряжений.  </w:t>
      </w:r>
    </w:p>
    <w:p>
      <w:pPr>
        <w:pStyle w:val="Normal"/>
        <w:bidi w:val="0"/>
        <w:spacing w:lineRule="auto" w:line="240" w:before="0" w:after="0"/>
        <w:ind w:left="0" w:right="0" w:firstLine="709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В регистр нормативных правовых актов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в течение года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 сдано - 19</w:t>
      </w:r>
    </w:p>
    <w:p>
      <w:pPr>
        <w:pStyle w:val="Normal"/>
        <w:bidi w:val="0"/>
        <w:spacing w:lineRule="auto" w:line="240" w:before="0" w:after="0"/>
        <w:ind w:left="0" w:right="0" w:firstLine="709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 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- нотариальных действий выполнено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-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45;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Все НПА документы представлены в прокуратуру Красногвардейского района и в Правительство области.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За 2021 год гражданам оказано 186 муниципальных услуг. Все услуги оказываются населению строго в соответствии с административными регламентами.</w:t>
      </w:r>
    </w:p>
    <w:p>
      <w:pPr>
        <w:pStyle w:val="Style21"/>
        <w:bidi w:val="0"/>
        <w:spacing w:lineRule="auto" w:line="240" w:before="0" w:after="0"/>
        <w:ind w:left="0" w:right="0" w:firstLine="709"/>
        <w:jc w:val="both"/>
        <w:rPr>
          <w:color w:val="00000A"/>
        </w:rPr>
      </w:pPr>
      <w:r>
        <w:rPr>
          <w:rFonts w:ascii="Times New Roman" w:hAnsi="Times New Roman"/>
          <w:i w:val="false"/>
          <w:iCs w:val="false"/>
          <w:color w:val="00000A"/>
          <w:sz w:val="26"/>
          <w:szCs w:val="26"/>
        </w:rPr>
        <w:t xml:space="preserve">Административные регламенты включают в себя поэтапные действия сотрудников администрации, а также процедуру обжалования действий должностного лица, кроме того, он содержит информацию о документах, необходимых для предоставления при осуществлении муниципальной услуги. Все административные регламенты в целях доступности и открытости деятельности органов местного самоуправления обнародованы на сайте в сети Интернет и на информационных стендах.  </w:t>
      </w:r>
    </w:p>
    <w:p>
      <w:pPr>
        <w:pStyle w:val="Style21"/>
        <w:bidi w:val="0"/>
        <w:spacing w:lineRule="auto" w:line="240" w:before="0" w:after="0"/>
        <w:ind w:left="0" w:right="0" w:firstLine="709"/>
        <w:jc w:val="both"/>
        <w:rPr>
          <w:color w:val="00000A"/>
        </w:rPr>
      </w:pPr>
      <w:r>
        <w:rPr>
          <w:rFonts w:ascii="Times New Roman" w:hAnsi="Times New Roman"/>
          <w:i w:val="false"/>
          <w:iCs w:val="false"/>
          <w:color w:val="00000A"/>
          <w:sz w:val="26"/>
          <w:szCs w:val="26"/>
        </w:rPr>
        <w:t>На сайте вы найдете достоверно-оперативную информацию о работе органов местного самоуправления, сможете быть в курсе последних событий в жизни, познакомитесь с планами администрации.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Когда вы обращаетесь в администрацию, наша задача максимально правильно и своевременно оказать, муниципальные услуги. Такая работа требует современной технической поддержки. Технические возможности у нас есть.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Работа администрации поселения многогранна, она постоянно должна соответствовать требованиям времени и запросам людей. </w:t>
      </w:r>
    </w:p>
    <w:p>
      <w:pPr>
        <w:pStyle w:val="Normal"/>
        <w:bidi w:val="0"/>
        <w:spacing w:lineRule="auto" w:line="240" w:before="0" w:after="0"/>
        <w:ind w:left="0" w:right="0" w:firstLine="709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В настоящее время ведется работа над реализацией планов на 2022 год.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 Приоритетными направлениями в работе в 2022 году останутся:</w:t>
        <w:br/>
        <w:t>-увеличение налогооблагаемой базы и привлечение дополнительных доходов в бюджет поселения;</w:t>
        <w:br/>
        <w:t>- привлечение дополнительных средств, путем обеспечения участия поселения в региональных и федеральных программах;</w:t>
        <w:br/>
        <w:t>-сокращение роста недоимки по налоговым и неналоговым платежам;</w:t>
        <w:br/>
        <w:t>- принятие мер по оптимизации бюджетных расходов;</w:t>
        <w:br/>
        <w:t>- повышение эффективности использования муниципального имущества;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На этом собрании граждан будем обсуждать вопрос участия в Программах, чтобы узнать приоритетное направление и выберем проекты которые будем представлять на конкурс и отрабатывать в 2023 году в рамках госпрограммы КРСТ панируется обустроить площадки ТКО в количестве 10 шт.  И в рамках инициативного бюджетирования продолжить капитальный ремонт водопровода по ул. Мира.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Предстоит большая работа по постановке на учет территориальных зон.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Необходимо навести порядок   с канализацией по ул. Комсомольская.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Подключить все наши общественные формирования и добиться     наведения порядка в подворьях произвести покраску фасадов домов и изгородей.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A"/>
          <w:sz w:val="26"/>
          <w:szCs w:val="26"/>
          <w:lang w:eastAsia="ru-RU"/>
        </w:rPr>
        <w:t>В рамках районной программы «Народный бюджет» в 2022 году капитально отремонтируем 520 метров водопроводной сети по ул. Мира.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Подводя итоги отчетного года следует отметить конструктивное взаимодействие в работе Совета депутатов поселения и администрации, помощь старосты, руководителей и коллективов учреждений. И конечно же необходимо отметить безусловную поддержку в решении вопросов администрацию района.  Поблагодарить всех граждан муниципального образования за взаимопонимание, оказание помощи в решении социальных вопросов.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A"/>
          <w:sz w:val="26"/>
          <w:szCs w:val="26"/>
        </w:rPr>
        <w:t>Уважаемые жители нам необходимо на данном собрании</w:t>
      </w:r>
      <w:r>
        <w:rPr>
          <w:rFonts w:cs="Times New Roman" w:ascii="Times New Roman" w:hAnsi="Times New Roman"/>
          <w:b/>
          <w:i w:val="false"/>
          <w:iCs w:val="false"/>
          <w:color w:val="00000A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принять решение об участие в конкурсных отборах проектов развития сельских поселений, основанных на местных инициативах и идентификация проблемы, решение которой возможно в случае победы в конкурсе.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Презентация Программы инициативного бюджетирования в свете Постановления Правительства Оренбургской области № 851 - пп от 14.11.2016 г. «О реализации на территории Оренбургской области проектов развития сельских поселений муниципальных районов Оренбургской области, основанных на местных инициативах».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Идентификация проблемы, сложившейся на территории Залесовского сельсовета, решение которой возможно в случае победы в конкурсном отборе проектов развития сельских поселений муниципальных районов Оренбургской области, основанных на местных инициативах.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В соответствии с Постановлением Правительства Оренбургской области № 851- пп от 14.11.2016 г. «О реализации на территории Оренбургской области проектов развития сельских поселений муниципальных районов Оренбургской области, основанных на местных инициативах».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из областного бюджета бюджетам муниципальных районов Оренбургской области предоставляются субсидии на реализацию проектов развития сельских поселений, основанных на местных инициативах. Предоставление субсидий осуществляется за счет средств областного бюджета на конкурсной основе.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С правилами Порядка проведения конкурсного отбора проектов развития сельских поселений муниципальных районов Оренбургской области, основанных на местных инициативах, целью которого является отбор проектов для предоставления субсидий сельским поселениям.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К конкурсному отбору допускаются проекты, направленные на решение вопросов местного значения и предусматривающие мероприятия в отношении следующих типов объектов: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объекты электро-, газо-, водоснабжения, водоотведения, снабжения населения топливом;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объекты благоустройства,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автомобильные дороги местного значения и сооружения на них;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объекты для обеспечения жителей услугами бытового обслуживания,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игровые площадки;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объекты библиотечного обслуживания;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объекты культуры;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объекты культурного наследия;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объекты физической культуры и массового спорта;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места массового отдыха населения;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места захоронения.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что на конкурс от муниципального образования сельского поселения может предоставляться только одна заявка; размер субсидии составляет до 1 млн.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На конкурс Администрации Красногвардейского района 300 000 рублей.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Вклад участников реализации проекта определяется уровнем   софинансирования со стороны бюджета сельсовета, который должен составлять не менее 10 %, вклад населения - не менее 5%, а организаций и спонсоров - не ограничен. Соответственно, для подготовки документов необходимо соблюдать все условия конкурса.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Совместно с Советом депутатов муниципального образования Залесовский сельсовет администрация провела предварительное изучение проблем и разработали план мероприятий по подготовке к конкурсу Программы разрабатываются в соответствии с:</w:t>
      </w:r>
    </w:p>
    <w:p>
      <w:pPr>
        <w:pStyle w:val="Normal"/>
        <w:tabs>
          <w:tab w:val="left" w:pos="1848" w:leader="none"/>
        </w:tabs>
        <w:bidi w:val="0"/>
        <w:spacing w:lineRule="auto" w:line="240" w:before="0" w:after="0"/>
        <w:ind w:left="0" w:right="0" w:firstLine="709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Постановлением администрации Красногвардейского района Оренбургской области от 30.01.2017 г. № 85-п «О реализации на территории муниципального образования Красногвардейский район проекта «Народный бюджет».</w:t>
      </w:r>
    </w:p>
    <w:p>
      <w:pPr>
        <w:pStyle w:val="Normal"/>
        <w:tabs>
          <w:tab w:val="left" w:pos="1848" w:leader="none"/>
        </w:tabs>
        <w:bidi w:val="0"/>
        <w:spacing w:lineRule="auto" w:line="240" w:before="0" w:after="0"/>
        <w:ind w:left="0" w:right="0" w:firstLine="709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Постановлением Правительства Оренбургской области № 851 - пп от 14.11.2016 г. «О реализации на территории Оренбургской области проектов развития сельских поселений муниципальных районов Оренбургской области, основанных на местных инициативах».</w:t>
      </w:r>
    </w:p>
    <w:p>
      <w:pPr>
        <w:pStyle w:val="Normal"/>
        <w:tabs>
          <w:tab w:val="left" w:pos="1848" w:leader="none"/>
        </w:tabs>
        <w:bidi w:val="0"/>
        <w:spacing w:lineRule="auto" w:line="240" w:before="0" w:after="0"/>
        <w:ind w:left="0" w:right="0" w:firstLine="709"/>
        <w:rPr>
          <w:rFonts w:ascii="Times New Roman" w:hAnsi="Times New Roman" w:cs="Times New Roman"/>
          <w:i/>
          <w:i/>
          <w:color w:val="00000A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A"/>
          <w:sz w:val="26"/>
          <w:szCs w:val="26"/>
        </w:rPr>
        <w:t>- Постановлением Правительств Российской Федерации от 31 мая 2019 г. № 696 «</w:t>
      </w:r>
      <w:r>
        <w:rPr>
          <w:rFonts w:cs="Times New Roman" w:ascii="Times New Roman" w:hAnsi="Times New Roman"/>
          <w:bCs/>
          <w:i w:val="false"/>
          <w:iCs w:val="false"/>
          <w:color w:val="00000A"/>
          <w:sz w:val="26"/>
          <w:szCs w:val="26"/>
        </w:rPr>
        <w:t xml:space="preserve">Об утверждении государственной программы Российской Федерации "Комплексное развитие сельских территорий" </w:t>
      </w:r>
    </w:p>
    <w:p>
      <w:pPr>
        <w:pStyle w:val="Normal"/>
        <w:bidi w:val="0"/>
        <w:spacing w:lineRule="auto" w:line="240" w:before="0" w:after="0"/>
        <w:ind w:left="0" w:right="0" w:firstLine="709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i w:val="false"/>
          <w:iCs w:val="false"/>
          <w:sz w:val="26"/>
          <w:szCs w:val="26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entury Gothic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932cf"/>
    <w:pPr>
      <w:widowControl/>
      <w:bidi w:val="0"/>
      <w:spacing w:lineRule="auto" w:line="276" w:before="0" w:after="200"/>
      <w:jc w:val="left"/>
    </w:pPr>
    <w:rPr>
      <w:rFonts w:ascii="Calibri" w:hAnsi="Calibri" w:eastAsia="Calibri" w:cs="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4" w:customStyle="1">
    <w:name w:val="Заголовок 4 Знак"/>
    <w:basedOn w:val="DefaultParagraphFont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5" w:customStyle="1">
    <w:name w:val="Заголовок 5 Знак"/>
    <w:basedOn w:val="DefaultParagraphFont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6" w:customStyle="1">
    <w:name w:val="Заголовок 6 Знак"/>
    <w:basedOn w:val="DefaultParagraphFont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HTML" w:customStyle="1">
    <w:name w:val="Стандартный HTML Знак"/>
    <w:basedOn w:val="DefaultParagraphFont"/>
    <w:link w:val="HTML0"/>
    <w:uiPriority w:val="99"/>
    <w:semiHidden/>
    <w:qFormat/>
    <w:rsid w:val="003e5826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4" w:customStyle="1">
    <w:name w:val="Текст выноски Знак"/>
    <w:basedOn w:val="DefaultParagraphFont"/>
    <w:uiPriority w:val="99"/>
    <w:semiHidden/>
    <w:qFormat/>
    <w:rsid w:val="00f36a3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b35139"/>
    <w:rPr>
      <w:b/>
      <w:bCs/>
    </w:rPr>
  </w:style>
  <w:style w:type="character" w:styleId="Style15" w:customStyle="1">
    <w:name w:val="Основной текст Знак"/>
    <w:basedOn w:val="DefaultParagraphFont"/>
    <w:semiHidden/>
    <w:qFormat/>
    <w:rsid w:val="00b3513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Appleconvertedspace" w:customStyle="1">
    <w:name w:val="apple-converted-space"/>
    <w:basedOn w:val="DefaultParagraphFont"/>
    <w:qFormat/>
    <w:rsid w:val="00151c1f"/>
    <w:rPr>
      <w:rFonts w:cs="Times New Roman"/>
    </w:rPr>
  </w:style>
  <w:style w:type="character" w:styleId="Style16">
    <w:name w:val="Выделение"/>
    <w:basedOn w:val="DefaultParagraphFont"/>
    <w:qFormat/>
    <w:rsid w:val="00151c1f"/>
    <w:rPr>
      <w:rFonts w:cs="Times New Roman"/>
      <w:i/>
      <w:iCs/>
    </w:rPr>
  </w:style>
  <w:style w:type="character" w:styleId="Style17" w:customStyle="1">
    <w:name w:val="Верхний колонтитул Знак"/>
    <w:basedOn w:val="DefaultParagraphFont"/>
    <w:uiPriority w:val="99"/>
    <w:semiHidden/>
    <w:qFormat/>
    <w:rsid w:val="009e5a0f"/>
    <w:rPr/>
  </w:style>
  <w:style w:type="character" w:styleId="Style18" w:customStyle="1">
    <w:name w:val="Нижний колонтитул Знак"/>
    <w:basedOn w:val="DefaultParagraphFont"/>
    <w:uiPriority w:val="99"/>
    <w:semiHidden/>
    <w:qFormat/>
    <w:rsid w:val="009e5a0f"/>
    <w:rPr/>
  </w:style>
  <w:style w:type="character" w:styleId="Style19" w:customStyle="1">
    <w:name w:val="Интернет-ссылка"/>
    <w:basedOn w:val="DefaultParagraphFont"/>
    <w:uiPriority w:val="99"/>
    <w:semiHidden/>
    <w:unhideWhenUsed/>
    <w:rsid w:val="0012343b"/>
    <w:rPr>
      <w:color w:val="0000FF"/>
      <w:u w:val="single"/>
    </w:rPr>
  </w:style>
  <w:style w:type="paragraph" w:styleId="Style20">
    <w:name w:val="Заголовок"/>
    <w:basedOn w:val="Normal"/>
    <w:next w:val="Style21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semiHidden/>
    <w:rsid w:val="00b35139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Style22">
    <w:name w:val="List"/>
    <w:basedOn w:val="Style21"/>
    <w:rsid w:val="0014239a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11" w:customStyle="1">
    <w:name w:val="Заголовок 11"/>
    <w:basedOn w:val="Normal"/>
    <w:link w:val="11"/>
    <w:uiPriority w:val="9"/>
    <w:qFormat/>
    <w:rsid w:val="003e5826"/>
    <w:pPr>
      <w:spacing w:lineRule="auto" w:line="240" w:before="0" w:after="0"/>
      <w:outlineLvl w:val="0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21" w:customStyle="1">
    <w:name w:val="Заголовок 21"/>
    <w:basedOn w:val="Normal"/>
    <w:link w:val="21"/>
    <w:uiPriority w:val="9"/>
    <w:qFormat/>
    <w:rsid w:val="003e5826"/>
    <w:pPr>
      <w:spacing w:lineRule="auto" w:line="240" w:before="0" w:after="0"/>
      <w:outlineLvl w:val="1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31" w:customStyle="1">
    <w:name w:val="Заголовок 31"/>
    <w:basedOn w:val="Normal"/>
    <w:link w:val="31"/>
    <w:uiPriority w:val="9"/>
    <w:qFormat/>
    <w:rsid w:val="003e5826"/>
    <w:pPr>
      <w:spacing w:lineRule="auto" w:line="240" w:before="0" w:after="0"/>
      <w:outlineLvl w:val="2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41" w:customStyle="1">
    <w:name w:val="Заголовок 41"/>
    <w:basedOn w:val="Normal"/>
    <w:link w:val="41"/>
    <w:uiPriority w:val="9"/>
    <w:qFormat/>
    <w:rsid w:val="003e5826"/>
    <w:pPr>
      <w:spacing w:lineRule="auto" w:line="240" w:before="0" w:after="0"/>
      <w:outlineLvl w:val="3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51" w:customStyle="1">
    <w:name w:val="Заголовок 51"/>
    <w:basedOn w:val="Normal"/>
    <w:link w:val="51"/>
    <w:uiPriority w:val="9"/>
    <w:qFormat/>
    <w:rsid w:val="003e5826"/>
    <w:pPr>
      <w:spacing w:lineRule="auto" w:line="240" w:before="0" w:after="0"/>
      <w:outlineLvl w:val="4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61" w:customStyle="1">
    <w:name w:val="Заголовок 61"/>
    <w:basedOn w:val="Normal"/>
    <w:link w:val="61"/>
    <w:uiPriority w:val="9"/>
    <w:qFormat/>
    <w:rsid w:val="003e5826"/>
    <w:pPr>
      <w:spacing w:lineRule="auto" w:line="240" w:before="0" w:after="0"/>
      <w:outlineLvl w:val="5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3e5826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2" w:customStyle="1">
    <w:name w:val="Заголовок1"/>
    <w:basedOn w:val="Normal"/>
    <w:qFormat/>
    <w:rsid w:val="0014239a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13" w:customStyle="1">
    <w:name w:val="Название объекта1"/>
    <w:basedOn w:val="Normal"/>
    <w:qFormat/>
    <w:rsid w:val="001423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14239a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bc5f35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f36a3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rsid w:val="00b3513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" w:customStyle="1">
    <w:name w:val="Верхний колонтитул1"/>
    <w:basedOn w:val="Normal"/>
    <w:uiPriority w:val="99"/>
    <w:semiHidden/>
    <w:unhideWhenUsed/>
    <w:qFormat/>
    <w:rsid w:val="009e5a0f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5" w:customStyle="1">
    <w:name w:val="Нижний колонтитул1"/>
    <w:basedOn w:val="Normal"/>
    <w:uiPriority w:val="99"/>
    <w:semiHidden/>
    <w:unhideWhenUsed/>
    <w:qFormat/>
    <w:rsid w:val="009e5a0f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tclauthor" w:customStyle="1">
    <w:name w:val="atcl_author"/>
    <w:basedOn w:val="Normal"/>
    <w:qFormat/>
    <w:rsid w:val="0012343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5" w:customStyle="1">
    <w:name w:val="Содержимое врезки"/>
    <w:basedOn w:val="Normal"/>
    <w:qFormat/>
    <w:rsid w:val="0014239a"/>
    <w:pPr/>
    <w:rPr/>
  </w:style>
  <w:style w:type="paragraph" w:styleId="Style26" w:customStyle="1">
    <w:name w:val="Содержимое таблицы"/>
    <w:basedOn w:val="Normal"/>
    <w:qFormat/>
    <w:rsid w:val="0014239a"/>
    <w:pPr/>
    <w:rPr/>
  </w:style>
  <w:style w:type="paragraph" w:styleId="Style27" w:customStyle="1">
    <w:name w:val="Заголовок таблицы"/>
    <w:basedOn w:val="Style26"/>
    <w:qFormat/>
    <w:rsid w:val="0014239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d65ac4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5">
    <w:name w:val="Сетка таблицы1"/>
    <w:basedOn w:val="a1"/>
    <w:rsid w:val="0076268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F3D73-778D-4C52-813D-17F0F3382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3973</TotalTime>
  <Application>LibreOffice/5.3.0.3$Windows_X86_64 LibreOffice_project/7074905676c47b82bbcfbea1aeefc84afe1c50e1</Application>
  <Pages>13</Pages>
  <Words>4195</Words>
  <Characters>28539</Characters>
  <CharactersWithSpaces>32311</CharactersWithSpaces>
  <Paragraphs>525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2013-01-17T13:05:00Z</dcterms:created>
  <dc:creator>User</dc:creator>
  <dc:description/>
  <dc:language>ru-RU</dc:language>
  <cp:lastModifiedBy/>
  <cp:lastPrinted>2022-04-01T12:42:58Z</cp:lastPrinted>
  <dcterms:modified xsi:type="dcterms:W3CDTF">2022-04-01T12:44:46Z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