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>
          <w:rFonts w:ascii="Times New Roman" w:hAnsi="Times New Roman"/>
          <w:b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ПРОЕКТ</w:t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СОВЕТ ДЕПУТАТОВ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МУНИЦИПАЛЬНОГО ОБРАЗОВАНИЯ ЗАЛЕСОВСКИЙ СЕЛЬСОВЕТ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КРАСНОГВАРДЕЙСКОГО РАЙОНА ОРЕНБУРГСКОЙ ОБЛАСТИ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четвертого созыва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РЕШЕНИЕ</w:t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____.2022                                                                                                       № ___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с. Залесово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О бюджете муниципального образования Залесовский сельсовет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Красногвардейского района Оренбургской области на 2023 год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 на плановый период 2024 и 2025 годов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БК РФ, ФЗ № 131-ФЗ «Об общих принципах организации местного самоуправления в Российской Федерации от 06.10.2003г.»,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21.12.2021 № 13/2,   Уставом муниципального образования Залесовский сельсовет, Совет депутатов решил: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Утвердить бюджет муниципального образования Залесовский сельсовет Красногвардейского района Оренбургской области на 2023 год и на плановый период 2024 и 2025 годы согласно приложению.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Установить, что настоящее решение вступает в силу с 01 января 2023 года и подлежит обнародованию путем размещения на информационных стендах в установленном порядке.  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</w:r>
    </w:p>
    <w:p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</w:t>
      </w:r>
    </w:p>
    <w:p>
      <w:pPr>
        <w:pStyle w:val="Style2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Совета депутатов                                                                                     В.А.Быков</w:t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</w:rPr>
        <w:t xml:space="preserve">Разослано: в дело, администрации района, финансовому отделу администрации района, постоянной комиссии по вопросам финансово-экономического развития и сельскому хозяйству, </w:t>
      </w:r>
      <w:r>
        <w:rPr>
          <w:rFonts w:cs="Times New Roman" w:ascii="Times New Roman" w:hAnsi="Times New Roman"/>
          <w:highlight w:val="white"/>
        </w:rPr>
        <w:t>МКУ «Центр бюджетного учета и отчетности»</w:t>
      </w:r>
      <w:r>
        <w:rPr>
          <w:rFonts w:cs="Times New Roman" w:ascii="Times New Roman" w:hAnsi="Times New Roman"/>
        </w:rPr>
        <w:t>, прокурору района, информационные стенды- 3 экз.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Совета депутатов</w:t>
      </w:r>
    </w:p>
    <w:p>
      <w:pPr>
        <w:pStyle w:val="Normal"/>
        <w:tabs>
          <w:tab w:val="left" w:pos="0" w:leader="none"/>
          <w:tab w:val="left" w:pos="5235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Залесовский сельсовет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от _____2022 № ___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Бюджет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муниципального образования Залесовский сельсовет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Красногвардейского района Оренбургской области на 2023 год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и на плановый период 2024 и 2025 годы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Статья 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 Залесовский сельсовет (далее - бюджет поселения) на 2023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5323,7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2) общий объем расходов бюджета  поселения – в сумме  5323,7тыс.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3) прогнозируемый дефицит бюджета поселения - в сумме 0,0 тыс. рублей или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2024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Утвердить основные характеристики бюджета муниципального образования  Залесовский сельсовет (далее - бюджет поселения) на 2024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5280,0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 поселения – в сумме  5280,0 тыс. рублей, в том числе условно - утвержденные расходы в сумме 114,6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2025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Утвердить основные характеристики бюджета муниципального образования  Залесовский сельсовет (далее - бюджет поселения) на 2025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5941,9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поселения – в сумме 5941,9 тыс. рублей, в том числе условно - утвержденные расходы в размере 262,1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 рублей, в том числе верхний предел долга по муниципальным гарантиям – в сумме   0,0 тыс.  рублей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2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источники внутреннего финансирования дефицита бюджета поселения на 2023 год и плановый период 2024 и 2025 годов согласно приложению 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3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Учесть поступление доходов в бюджет поселения по кодам вида доходов, подвидов доходов на 2023 год и на плановый период 2024 и 2025 годов согласно приложению 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4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Предоставление в 2023 году и в плановом периоде 2024 и 2025 годов рассрочек и отсрочек по уплате местных налогов и сборов и не налоговых платежей не осуществлять.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5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  классификации расходов бюджета поселения на 2023 год и  плановый период 2024 и 2025 годов согласно приложению 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6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ведомственную структуру расходов бюджета поселения на 2023 год и плановый период 2024 и 2025 годов согласно приложению 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7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на 2023 год и плановый период 2024 и 2025 годов согласно приложению 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 согласно приложению 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межбюджетные трансферты,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2023 год и плановый период 2024 и 2025 годов согласно приложению 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10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заключение и оплата местными учреждениями и органами местного самоуправления муниципального образования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 исполненных обязательств.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Учет обязательств, подлежащих исполнению за счет средств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финансовый отдел администрации района.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бюджета поселения, подлежат признанию недействительными по иску вышестоящей организации или  администрацией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Органы местного самоуправления муниципального образования не вправе принимать в 2023 году и в плановом периоде 2024 и 2025 годах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12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исполнение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бюджета поселения и в соответствии с законодательством Российской Федерации и законодательством Оренбургской области.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13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2023 году и в плановом периоде 2024 и 2025 годах, а также сокращающие его доходную базу, реализуются и применяются только при наличии соответствующих источников дополнительных поступлений в бюджет и (или) при сокращении расходов по конкретным статьям бюджета поселения в 2023 году и в плановом периоде 2024 и 2025 годах, а также после внесения соответствующих изменений в настоящее Решение.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случае если реализация правового акта частично (не в полной мере) обеспечена источниками финансирования в бюджете поселения, такой правовой акт реализуется и применяется в пределах средств, предусмотренных на эти цели в  бюджете поселения  на 2023 год и плановый период 2024 и 2025 годах.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14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15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в 2023 году и плановом периоде 2024 и 2025 годах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16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общий объем бюджетных ассигнований на исполнение публичных нормативных обязательств на 2023 год и плановый период 2024 и 2025 годах в сумме 0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17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объем бюджетных ассигнований дорожного фонда муниципального образования Залесовский сельсовет на 2023 год в размере 725,8 тыс. рублей, на 2024 год – в сумме  763,9 тыс. рублей, на 2025 год – в сумме 810,5 тыс.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программу муниципальных внутренних заимствований на 2023 год и  плановый период 2024 и 2025 годов согласно приложению 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Статья 20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В соответствии с ч. 4 ст. 27 Положения о бюджетном процессе в муниципальном образовании Залесовский сельсовет Красногвардейского района Оренбургской области, утвержденного решением Совета депутатов муниципального образования Залесовский сельсовет Красногвардейского района Оренбургской области от 21.12.2021 года № 13/2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Залесовский сельсовет Красногвардейского района Оренбургской области от 25.09.2020 года № 2/6 «О муниципальном дорожном фонде муниципального образования Залесовский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Calibri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разделами, подразделами, целевыми статьями,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видами расходов на повышение оплаты труда работников, а также для обеспечения участия  в проектах с долевой финансирования из областного и районного бюджетов;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кодами разделов и подразделов ,целевыми статьями расходов, видами расходов, за счет свободных средств не имеющих бюджетных обязательств в целях исполнения обязательств бюджета муниципального образования.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Calibri" w:ascii="Times New Roman" w:hAnsi="Times New Roman"/>
          <w:b/>
          <w:bCs/>
          <w:color w:val="000000"/>
          <w:sz w:val="24"/>
          <w:szCs w:val="24"/>
          <w:lang w:eastAsia="ru-RU"/>
        </w:rPr>
        <w:t>Статья 21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Утвердить основные параметры первоочередных расходов за счет местного бюджета отнесенных к полномочиям органов местного самоуправления на 2023 год согласно приложения №10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Calibri"/>
          <w:color w:val="000000"/>
          <w:sz w:val="24"/>
          <w:szCs w:val="24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№1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Источники внутреннего финансирования дефицита бюджета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поселения на 2023 год  и плановый период 2024 и 2025 годов</w:t>
      </w:r>
    </w:p>
    <w:p>
      <w:pPr>
        <w:pStyle w:val="Normal"/>
        <w:keepNext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тыс. рублей)</w:t>
      </w:r>
    </w:p>
    <w:tbl>
      <w:tblPr>
        <w:tblW w:w="9349" w:type="dxa"/>
        <w:jc w:val="left"/>
        <w:tblInd w:w="14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88"/>
        <w:gridCol w:w="2372"/>
        <w:gridCol w:w="963"/>
        <w:gridCol w:w="963"/>
        <w:gridCol w:w="963"/>
      </w:tblGrid>
      <w:tr>
        <w:trPr>
          <w:trHeight w:val="492" w:hRule="atLeast"/>
        </w:trPr>
        <w:tc>
          <w:tcPr>
            <w:tcW w:w="40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288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40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3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Сумма 2023 год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Сумма 2024 год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Сумма 2025 год</w:t>
            </w:r>
          </w:p>
        </w:tc>
      </w:tr>
      <w:tr>
        <w:trPr>
          <w:trHeight w:val="288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792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/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/>
            </w:r>
          </w:p>
        </w:tc>
      </w:tr>
      <w:tr>
        <w:trPr>
          <w:trHeight w:val="579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390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-5941,9</w:t>
            </w:r>
          </w:p>
        </w:tc>
      </w:tr>
      <w:tr>
        <w:trPr>
          <w:trHeight w:val="324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-5941,9</w:t>
            </w:r>
          </w:p>
        </w:tc>
      </w:tr>
      <w:tr>
        <w:trPr>
          <w:trHeight w:val="504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-5941,9</w:t>
            </w:r>
          </w:p>
        </w:tc>
      </w:tr>
      <w:tr>
        <w:trPr>
          <w:trHeight w:val="540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-5941,9</w:t>
            </w:r>
          </w:p>
        </w:tc>
      </w:tr>
      <w:tr>
        <w:trPr>
          <w:trHeight w:val="300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5941,9</w:t>
            </w:r>
          </w:p>
        </w:tc>
      </w:tr>
      <w:tr>
        <w:trPr>
          <w:trHeight w:val="528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5941,9</w:t>
            </w:r>
          </w:p>
        </w:tc>
      </w:tr>
      <w:tr>
        <w:trPr>
          <w:trHeight w:val="555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5941,9</w:t>
            </w:r>
          </w:p>
        </w:tc>
      </w:tr>
      <w:tr>
        <w:trPr>
          <w:trHeight w:val="585" w:hRule="atLeast"/>
        </w:trPr>
        <w:tc>
          <w:tcPr>
            <w:tcW w:w="4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5941,9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Поступление доходов в бюджет поселения по кодам видов доходов,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подвидов доходов 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49" w:type="dxa"/>
        <w:jc w:val="left"/>
        <w:tblInd w:w="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65"/>
        <w:gridCol w:w="3963"/>
        <w:gridCol w:w="879"/>
        <w:gridCol w:w="907"/>
        <w:gridCol w:w="935"/>
      </w:tblGrid>
      <w:tr>
        <w:trPr>
          <w:trHeight w:val="315" w:hRule="atLeast"/>
        </w:trPr>
        <w:tc>
          <w:tcPr>
            <w:tcW w:w="26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Наименование кода дохода бюджета</w:t>
            </w:r>
          </w:p>
        </w:tc>
        <w:tc>
          <w:tcPr>
            <w:tcW w:w="8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>
        <w:trPr>
          <w:trHeight w:val="288" w:hRule="exact"/>
        </w:trPr>
        <w:tc>
          <w:tcPr>
            <w:tcW w:w="26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96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8" w:hRule="exact"/>
        </w:trPr>
        <w:tc>
          <w:tcPr>
            <w:tcW w:w="26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96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7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b/>
                <w:bCs/>
                <w:i w:val="false"/>
                <w:iCs w:val="false"/>
                <w:sz w:val="24"/>
                <w:szCs w:val="24"/>
                <w:lang w:eastAsia="ru-RU"/>
              </w:rPr>
              <w:t>Налоговые и не налоговые доходы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3169,7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3532,2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3677,8</w:t>
            </w:r>
          </w:p>
        </w:tc>
      </w:tr>
      <w:tr>
        <w:trPr>
          <w:trHeight w:val="315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182,0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192,0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204,0</w:t>
            </w:r>
          </w:p>
        </w:tc>
      </w:tr>
      <w:tr>
        <w:trPr>
          <w:trHeight w:val="33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182,0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192,0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204,0</w:t>
            </w:r>
          </w:p>
        </w:tc>
      </w:tr>
      <w:tr>
        <w:trPr>
          <w:trHeight w:val="158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182,0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192,0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204,0</w:t>
            </w:r>
          </w:p>
        </w:tc>
      </w:tr>
      <w:tr>
        <w:trPr>
          <w:trHeight w:val="76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76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196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343,8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364,4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387,6</w:t>
            </w:r>
          </w:p>
        </w:tc>
      </w:tr>
      <w:tr>
        <w:trPr>
          <w:trHeight w:val="290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,установленным фед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343,8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364,4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387,6</w:t>
            </w:r>
          </w:p>
        </w:tc>
      </w:tr>
      <w:tr>
        <w:trPr>
          <w:trHeight w:val="246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2,6</w:t>
            </w:r>
          </w:p>
        </w:tc>
      </w:tr>
      <w:tr>
        <w:trPr>
          <w:trHeight w:val="346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1 03 02241 01 0000 110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 установленным Федеральным законом о федеральном бюджете в целях формирования дорожных фондов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субъектов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 Российской Федерации)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2,6</w:t>
            </w:r>
          </w:p>
        </w:tc>
      </w:tr>
      <w:tr>
        <w:trPr>
          <w:trHeight w:val="2136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424,9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444,7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468,0</w:t>
            </w:r>
          </w:p>
        </w:tc>
      </w:tr>
      <w:tr>
        <w:trPr>
          <w:trHeight w:val="3072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 установленным фед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424,9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444,7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468,0</w:t>
            </w:r>
          </w:p>
        </w:tc>
      </w:tr>
      <w:tr>
        <w:trPr>
          <w:trHeight w:val="2016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-45,3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-47,7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-47,7</w:t>
            </w:r>
          </w:p>
        </w:tc>
      </w:tr>
      <w:tr>
        <w:trPr>
          <w:trHeight w:val="292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-45,3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-47,7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-47,7</w:t>
            </w:r>
          </w:p>
        </w:tc>
      </w:tr>
      <w:tr>
        <w:trPr>
          <w:trHeight w:val="30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461,9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863,4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863,4</w:t>
            </w:r>
          </w:p>
        </w:tc>
      </w:tr>
      <w:tr>
        <w:trPr>
          <w:trHeight w:val="26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1 06 01000 00 0000 110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105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1 06 01030 10 0000 110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279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1 06 06000 00 0000 110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451,9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853,4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853,4</w:t>
            </w:r>
          </w:p>
        </w:tc>
      </w:tr>
      <w:tr>
        <w:trPr>
          <w:trHeight w:val="26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>
        <w:trPr>
          <w:trHeight w:val="78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1 06 06033 10 0000 110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>
        <w:trPr>
          <w:trHeight w:val="28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352,4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752,9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752,9</w:t>
            </w:r>
          </w:p>
        </w:tc>
      </w:tr>
      <w:tr>
        <w:trPr>
          <w:trHeight w:val="80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352,4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752,9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752,9</w:t>
            </w:r>
          </w:p>
        </w:tc>
      </w:tr>
      <w:tr>
        <w:trPr>
          <w:trHeight w:val="345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>
        <w:trPr>
          <w:trHeight w:val="104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>
        <w:trPr>
          <w:trHeight w:val="1815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>
        <w:trPr>
          <w:trHeight w:val="78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1710,0</w:t>
            </w:r>
          </w:p>
        </w:tc>
      </w:tr>
      <w:tr>
        <w:trPr>
          <w:trHeight w:val="3216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1 11 05000 00 0000 120 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Доходы, получаемые  в виде арендной либо иной платы за передачу в возмездное пользование  государственного и муниципального имущества(за исключением имущества бюджетных и автономных учрежденийами и созданных ими учреждений (за исключением имущества  бюджетных и автономных учреждений,а также имущества государственных и муниципальных унитарных предприятий ,том числе казенных)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1710,0</w:t>
            </w:r>
          </w:p>
        </w:tc>
      </w:tr>
      <w:tr>
        <w:trPr>
          <w:trHeight w:val="220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1 11 05020 00 0000 120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землю,а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1607,0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1607,0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1607,0</w:t>
            </w:r>
          </w:p>
        </w:tc>
      </w:tr>
      <w:tr>
        <w:trPr>
          <w:trHeight w:val="180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1607,0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1607,0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1607,0</w:t>
            </w:r>
          </w:p>
        </w:tc>
      </w:tr>
      <w:tr>
        <w:trPr>
          <w:trHeight w:val="2232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</w:tr>
      <w:tr>
        <w:trPr>
          <w:trHeight w:val="188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103,0</w:t>
            </w:r>
          </w:p>
        </w:tc>
      </w:tr>
      <w:tr>
        <w:trPr>
          <w:trHeight w:val="96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112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140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1 16 02020 02 0000 140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78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86,9</w:t>
            </w:r>
          </w:p>
        </w:tc>
      </w:tr>
      <w:tr>
        <w:trPr>
          <w:trHeight w:val="552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1 17 15000 00 0000 150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86,9</w:t>
            </w:r>
          </w:p>
        </w:tc>
      </w:tr>
      <w:tr>
        <w:trPr>
          <w:trHeight w:val="96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1 17 15030 10 0201 150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  "Приобретение коммунальной техники"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86,9</w:t>
            </w:r>
          </w:p>
        </w:tc>
      </w:tr>
      <w:tr>
        <w:trPr>
          <w:trHeight w:val="96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1 17 15030 10 0205 150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  "Ремонт водопровода"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2154,0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1747,8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2264,1</w:t>
            </w:r>
          </w:p>
        </w:tc>
      </w:tr>
      <w:tr>
        <w:trPr>
          <w:trHeight w:val="81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2139,0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1732,8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2244,1</w:t>
            </w:r>
          </w:p>
        </w:tc>
      </w:tr>
      <w:tr>
        <w:trPr>
          <w:trHeight w:val="555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1610,5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1598,3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1710,9</w:t>
            </w:r>
          </w:p>
        </w:tc>
      </w:tr>
      <w:tr>
        <w:trPr>
          <w:trHeight w:val="54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2 02 1500100 0000 150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1582,9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1598,3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1704,5</w:t>
            </w:r>
          </w:p>
        </w:tc>
      </w:tr>
      <w:tr>
        <w:trPr>
          <w:trHeight w:val="1116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1582,9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1598,3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1704,5</w:t>
            </w:r>
          </w:p>
        </w:tc>
      </w:tr>
      <w:tr>
        <w:trPr>
          <w:trHeight w:val="84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2 02 15002 00 0000 150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972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128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Дотации на  выравнивание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6,4</w:t>
            </w:r>
          </w:p>
        </w:tc>
      </w:tr>
      <w:tr>
        <w:trPr>
          <w:trHeight w:val="112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Дотации бюджетам сельских поселений на  выравнивание бюджетной  обеспеченности из бюджетов муниципальных районов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6,4</w:t>
            </w:r>
          </w:p>
        </w:tc>
      </w:tr>
      <w:tr>
        <w:trPr>
          <w:trHeight w:val="112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22272F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Субсидии бюджетам бюжетной системы Российской Федарации (межбюджетные субсидии)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393,8</w:t>
            </w:r>
          </w:p>
        </w:tc>
      </w:tr>
      <w:tr>
        <w:trPr>
          <w:trHeight w:val="996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2 02 25576 00 0000 150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393,8</w:t>
            </w:r>
          </w:p>
        </w:tc>
      </w:tr>
      <w:tr>
        <w:trPr>
          <w:trHeight w:val="112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2 02 25576 10 0000 150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393,8</w:t>
            </w:r>
          </w:p>
        </w:tc>
      </w:tr>
      <w:tr>
        <w:trPr>
          <w:trHeight w:val="683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2 02 29999 10 0000 150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субсидии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835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2 02 29999 00 0000 150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субсидии бюджетных сельских поселений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552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1106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1368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32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2 07 00000 00 0000 000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>
        <w:trPr>
          <w:trHeight w:val="50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2 07 05000 10 0000 150  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>
        <w:trPr>
          <w:trHeight w:val="864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>
        <w:trPr>
          <w:trHeight w:val="420" w:hRule="atLeast"/>
        </w:trPr>
        <w:tc>
          <w:tcPr>
            <w:tcW w:w="2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ИТОГО ДОХОДОВ:</w:t>
            </w:r>
          </w:p>
        </w:tc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5280,0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5941,9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3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бюджета поселения по разделам и подразделам классификации расходов бюджета поселения на 2023 год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2024 и 2025 годов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( тыс. рублей)</w:t>
      </w:r>
    </w:p>
    <w:tbl>
      <w:tblPr>
        <w:tblW w:w="9335" w:type="dxa"/>
        <w:jc w:val="left"/>
        <w:tblInd w:w="10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7"/>
        <w:gridCol w:w="614"/>
        <w:gridCol w:w="572"/>
        <w:gridCol w:w="893"/>
        <w:gridCol w:w="1074"/>
        <w:gridCol w:w="1075"/>
      </w:tblGrid>
      <w:tr>
        <w:trPr>
          <w:trHeight w:val="255" w:hRule="atLeast"/>
        </w:trPr>
        <w:tc>
          <w:tcPr>
            <w:tcW w:w="51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8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2023г.</w:t>
            </w:r>
          </w:p>
        </w:tc>
        <w:tc>
          <w:tcPr>
            <w:tcW w:w="10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2024г.</w:t>
            </w:r>
          </w:p>
        </w:tc>
        <w:tc>
          <w:tcPr>
            <w:tcW w:w="10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2025г.</w:t>
            </w:r>
          </w:p>
        </w:tc>
      </w:tr>
      <w:tr>
        <w:trPr>
          <w:trHeight w:val="288" w:hRule="exact"/>
        </w:trPr>
        <w:tc>
          <w:tcPr>
            <w:tcW w:w="51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9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07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0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1638,4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1795,4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1795,4</w:t>
            </w:r>
          </w:p>
        </w:tc>
      </w:tr>
      <w:tr>
        <w:trPr>
          <w:trHeight w:val="525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828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312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324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324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468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и правоохранительной деятельности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285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852,8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840,9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887,5</w:t>
            </w:r>
          </w:p>
        </w:tc>
      </w:tr>
      <w:tr>
        <w:trPr>
          <w:trHeight w:val="315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300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300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1038,5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471,0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1033,5</w:t>
            </w:r>
          </w:p>
        </w:tc>
      </w:tr>
      <w:tr>
        <w:trPr>
          <w:trHeight w:val="360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339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360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315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504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279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288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262,1</w:t>
            </w:r>
          </w:p>
        </w:tc>
      </w:tr>
      <w:tr>
        <w:trPr>
          <w:trHeight w:val="375" w:hRule="atLeast"/>
        </w:trPr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5323,7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5280,0</w:t>
            </w:r>
          </w:p>
        </w:tc>
        <w:tc>
          <w:tcPr>
            <w:tcW w:w="1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5941,9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4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Ведомственная структура расходов бюджета поселения на 2023 год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06" w:type="dxa"/>
        <w:jc w:val="left"/>
        <w:tblInd w:w="10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09"/>
        <w:gridCol w:w="628"/>
        <w:gridCol w:w="503"/>
        <w:gridCol w:w="460"/>
        <w:gridCol w:w="1758"/>
        <w:gridCol w:w="614"/>
        <w:gridCol w:w="907"/>
        <w:gridCol w:w="907"/>
        <w:gridCol w:w="920"/>
      </w:tblGrid>
      <w:tr>
        <w:trPr>
          <w:trHeight w:val="288" w:hRule="atLeast"/>
        </w:trPr>
        <w:tc>
          <w:tcPr>
            <w:tcW w:w="26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4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73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>
        <w:trPr>
          <w:trHeight w:val="270" w:hRule="atLeast"/>
        </w:trPr>
        <w:tc>
          <w:tcPr>
            <w:tcW w:w="260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2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5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5280,0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5941,9</w:t>
            </w:r>
          </w:p>
        </w:tc>
      </w:tr>
      <w:tr>
        <w:trPr>
          <w:trHeight w:val="28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1638,4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1795,4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1795,4</w:t>
            </w:r>
          </w:p>
        </w:tc>
      </w:tr>
      <w:tr>
        <w:trPr>
          <w:trHeight w:val="49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699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34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80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49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94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67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3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81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27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51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</w:tr>
      <w:tr>
        <w:trPr>
          <w:trHeight w:val="52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806,8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806,8</w:t>
            </w:r>
          </w:p>
        </w:tc>
      </w:tr>
      <w:tr>
        <w:trPr>
          <w:trHeight w:val="28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699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57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81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69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 органами местного самоуправления поселений,муниципальных и городских округов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50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</w:tr>
      <w:tr>
        <w:trPr>
          <w:trHeight w:val="6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>
        <w:trPr>
          <w:trHeight w:val="25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55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технологического характера,пожарная безопасность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68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49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66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4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57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63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54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58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54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0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852,8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840,9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887,5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73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6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999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61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51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31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699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55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118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110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52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12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52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102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52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27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471,0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1033,5</w:t>
            </w:r>
          </w:p>
        </w:tc>
      </w:tr>
      <w:tr>
        <w:trPr>
          <w:trHeight w:val="28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129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благоустройиства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51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93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52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</w:tr>
      <w:tr>
        <w:trPr>
          <w:trHeight w:val="57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</w:tr>
      <w:tr>
        <w:trPr>
          <w:trHeight w:val="3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волопровода)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126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 и  повышение уровня благоустройства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48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86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</w:tr>
      <w:tr>
        <w:trPr>
          <w:trHeight w:val="6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</w:tr>
      <w:tr>
        <w:trPr>
          <w:trHeight w:val="6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</w:tr>
      <w:tr>
        <w:trPr>
          <w:trHeight w:val="84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программа"Комплексное развитие территории муниципального образования Залесовский сельсовет Красногвардейского района Оренбургской области"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6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6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мероприятий"Комплексное развитие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62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тарриторий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54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27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28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70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72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54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28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492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75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935,3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835,7</w:t>
            </w:r>
          </w:p>
        </w:tc>
      </w:tr>
      <w:tr>
        <w:trPr>
          <w:trHeight w:val="52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935,3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835,7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</w:tr>
      <w:tr>
        <w:trPr>
          <w:trHeight w:val="49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</w:tr>
      <w:tr>
        <w:trPr>
          <w:trHeight w:val="102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</w:tr>
      <w:tr>
        <w:trPr>
          <w:trHeight w:val="459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34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70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44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82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1344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>
        <w:trPr>
          <w:trHeight w:val="31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>
        <w:trPr>
          <w:trHeight w:val="1716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>
        <w:trPr>
          <w:trHeight w:val="144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262,1</w:t>
            </w:r>
          </w:p>
        </w:tc>
      </w:tr>
      <w:tr>
        <w:trPr>
          <w:trHeight w:val="288" w:hRule="atLeast"/>
        </w:trPr>
        <w:tc>
          <w:tcPr>
            <w:tcW w:w="2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#####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5280,0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#####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5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49" w:type="dxa"/>
        <w:jc w:val="left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81"/>
        <w:gridCol w:w="503"/>
        <w:gridCol w:w="516"/>
        <w:gridCol w:w="1758"/>
        <w:gridCol w:w="614"/>
        <w:gridCol w:w="907"/>
        <w:gridCol w:w="907"/>
        <w:gridCol w:w="963"/>
      </w:tblGrid>
      <w:tr>
        <w:trPr>
          <w:trHeight w:val="288" w:hRule="atLeast"/>
        </w:trPr>
        <w:tc>
          <w:tcPr>
            <w:tcW w:w="31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77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>
        <w:trPr>
          <w:trHeight w:val="288" w:hRule="atLeast"/>
        </w:trPr>
        <w:tc>
          <w:tcPr>
            <w:tcW w:w="318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5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61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>
        <w:trPr>
          <w:trHeight w:val="25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5941,9</w:t>
            </w:r>
          </w:p>
        </w:tc>
      </w:tr>
      <w:tr>
        <w:trPr>
          <w:trHeight w:val="27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1638,4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1795,4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1795,4</w:t>
            </w:r>
          </w:p>
        </w:tc>
      </w:tr>
      <w:tr>
        <w:trPr>
          <w:trHeight w:val="56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69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96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996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28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51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8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74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93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84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48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806,8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806,8</w:t>
            </w:r>
          </w:p>
        </w:tc>
      </w:tr>
      <w:tr>
        <w:trPr>
          <w:trHeight w:val="28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28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69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72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67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48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</w:tr>
      <w:tr>
        <w:trPr>
          <w:trHeight w:val="46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>
        <w:trPr>
          <w:trHeight w:val="44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318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0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3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69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51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3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636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852,8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840,9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887,5</w:t>
            </w:r>
          </w:p>
        </w:tc>
      </w:tr>
      <w:tr>
        <w:trPr>
          <w:trHeight w:val="30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56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37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78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636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54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55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456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86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93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122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50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984" w:hRule="atLeast"/>
        </w:trPr>
        <w:tc>
          <w:tcPr>
            <w:tcW w:w="318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44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276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471,0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1033,5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93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48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82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49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волопровода)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21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91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43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804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46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программа"Комплексное развитие территории муниципального образования Залесовский сельсовет Красногвардейского района Оренбургской области"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мероприятий"Комплексное развитие территории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34.4.01.00000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тарриторий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30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73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46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696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36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46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76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935,3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835,7</w:t>
            </w:r>
          </w:p>
        </w:tc>
      </w:tr>
      <w:tr>
        <w:trPr>
          <w:trHeight w:val="51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935,3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835,7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</w:tr>
      <w:tr>
        <w:trPr>
          <w:trHeight w:val="52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</w:tr>
      <w:tr>
        <w:trPr>
          <w:trHeight w:val="94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</w:tr>
      <w:tr>
        <w:trPr>
          <w:trHeight w:val="34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</w:tr>
      <w:tr>
        <w:trPr>
          <w:trHeight w:val="459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312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72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94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51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381,8</w:t>
            </w:r>
          </w:p>
        </w:tc>
      </w:tr>
      <w:tr>
        <w:trPr>
          <w:trHeight w:val="96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>
        <w:trPr>
          <w:trHeight w:val="31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>
        <w:trPr>
          <w:trHeight w:val="144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>
        <w:trPr>
          <w:trHeight w:val="30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>
        <w:trPr>
          <w:trHeight w:val="144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262,1</w:t>
            </w:r>
          </w:p>
        </w:tc>
      </w:tr>
      <w:tr>
        <w:trPr>
          <w:trHeight w:val="288" w:hRule="atLeast"/>
        </w:trPr>
        <w:tc>
          <w:tcPr>
            <w:tcW w:w="3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5280,0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5941,9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6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бюджета поселения по целевым статьям(муниципальным программам и не программным направлениям деятельности), разделам, подразделам, группам и подгруппам видов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расходов классификации расходов на 2023 год и на плановый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период 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Calibri"/>
          <w:color w:val="000000"/>
          <w:sz w:val="24"/>
          <w:szCs w:val="24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(тысяч рублей)</w:t>
      </w:r>
    </w:p>
    <w:tbl>
      <w:tblPr>
        <w:tblW w:w="9293" w:type="dxa"/>
        <w:jc w:val="left"/>
        <w:tblInd w:w="1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93"/>
        <w:gridCol w:w="1577"/>
        <w:gridCol w:w="572"/>
        <w:gridCol w:w="516"/>
        <w:gridCol w:w="614"/>
        <w:gridCol w:w="907"/>
        <w:gridCol w:w="907"/>
        <w:gridCol w:w="907"/>
      </w:tblGrid>
      <w:tr>
        <w:trPr>
          <w:trHeight w:val="28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>
        <w:trPr>
          <w:trHeight w:val="98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3559,4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3930,5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3835,8</w:t>
            </w:r>
          </w:p>
        </w:tc>
      </w:tr>
      <w:tr>
        <w:trPr>
          <w:trHeight w:val="55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2388,7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2393,6</w:t>
            </w:r>
          </w:p>
        </w:tc>
      </w:tr>
      <w:tr>
        <w:trPr>
          <w:trHeight w:val="85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парограммы Устойчивое развитие территории муниципального образования"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2388,7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2393,6</w:t>
            </w:r>
          </w:p>
        </w:tc>
      </w:tr>
      <w:tr>
        <w:trPr>
          <w:trHeight w:val="4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3140110010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585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3140110010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612,8</w:t>
            </w:r>
          </w:p>
        </w:tc>
      </w:tr>
      <w:tr>
        <w:trPr>
          <w:trHeight w:val="585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1182,6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1182,6</w:t>
            </w:r>
          </w:p>
        </w:tc>
      </w:tr>
      <w:tr>
        <w:trPr>
          <w:trHeight w:val="525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371,4</w:t>
            </w:r>
          </w:p>
        </w:tc>
      </w:tr>
      <w:tr>
        <w:trPr>
          <w:trHeight w:val="50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806,8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806,8</w:t>
            </w:r>
          </w:p>
        </w:tc>
      </w:tr>
      <w:tr>
        <w:trPr>
          <w:trHeight w:val="315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3140110020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>
        <w:trPr>
          <w:trHeight w:val="84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самоупраления поселений, муниципальных и городских округов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3140151180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>
        <w:trPr>
          <w:trHeight w:val="50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выплату персоналу государственных (муниципальных) оргапнов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3140151180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</w:tr>
      <w:tr>
        <w:trPr>
          <w:trHeight w:val="49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3140151180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>
        <w:trPr>
          <w:trHeight w:val="121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3140161010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>
        <w:trPr>
          <w:trHeight w:val="315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3140161010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>
        <w:trPr>
          <w:trHeight w:val="19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3140161040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>
        <w:trPr>
          <w:trHeight w:val="30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3140161040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>
        <w:trPr>
          <w:trHeight w:val="194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3140161050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3140161050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104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мероприятий"Управление муниципальным умуществом,мероприятия по землеустройству и землепользованию в муниципальном образовании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3140200000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>
        <w:trPr>
          <w:trHeight w:val="996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Оценка земельных участков,комплекс кадастровых работ по подготовке документов для постановаки на кадастровый учет земельных участков,нежвижимого имущества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31402060280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31402060280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>
        <w:trPr>
          <w:trHeight w:val="13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3140261070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54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3140261070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97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3140261080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456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3140261080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94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3140300000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319,0</w:t>
            </w:r>
          </w:p>
        </w:tc>
      </w:tr>
      <w:tr>
        <w:trPr>
          <w:trHeight w:val="84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3140360080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52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3140360080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317,5</w:t>
            </w:r>
          </w:p>
        </w:tc>
      </w:tr>
      <w:tr>
        <w:trPr>
          <w:trHeight w:val="70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3140360090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61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3140360090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74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процесных мероприятий «Развитие культуры в муниципальном образовании"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1222,8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1123,2</w:t>
            </w:r>
          </w:p>
        </w:tc>
      </w:tr>
      <w:tr>
        <w:trPr>
          <w:trHeight w:val="72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3140460210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51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3140460210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>
        <w:trPr>
          <w:trHeight w:val="84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культуры(за исключением библиотек,музеев,театров,концертных и других организаций исполнитульских искуств)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3140460220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935,3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835,7</w:t>
            </w:r>
          </w:p>
        </w:tc>
      </w:tr>
      <w:tr>
        <w:trPr>
          <w:trHeight w:val="50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3140460220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935,3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835,7</w:t>
            </w:r>
          </w:p>
        </w:tc>
      </w:tr>
      <w:tr>
        <w:trPr>
          <w:trHeight w:val="28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3140460230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</w:tr>
      <w:tr>
        <w:trPr>
          <w:trHeight w:val="62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3140460230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140,4</w:t>
            </w:r>
          </w:p>
        </w:tc>
      </w:tr>
      <w:tr>
        <w:trPr>
          <w:trHeight w:val="124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3140461020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</w:tr>
      <w:tr>
        <w:trPr>
          <w:trHeight w:val="62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3140461020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</w:tr>
      <w:tr>
        <w:trPr>
          <w:trHeight w:val="1044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3200000000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54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3240000000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121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3240100000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756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инжинерных сооружений на них в границах поселений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3240160110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756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3240160110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810,5</w:t>
            </w:r>
          </w:p>
        </w:tc>
      </w:tr>
      <w:tr>
        <w:trPr>
          <w:trHeight w:val="106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3300000000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i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471,0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471,0</w:t>
            </w:r>
          </w:p>
        </w:tc>
      </w:tr>
      <w:tr>
        <w:trPr>
          <w:trHeight w:val="28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471,0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471,0</w:t>
            </w:r>
          </w:p>
        </w:tc>
      </w:tr>
      <w:tr>
        <w:trPr>
          <w:trHeight w:val="10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"Мероприятия в сфере жилищно-комунальной инфраструктуры и повышения уровня благоустройстванатерритории муниципального образования"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3340100000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297,0</w:t>
            </w:r>
          </w:p>
        </w:tc>
      </w:tr>
      <w:tr>
        <w:trPr>
          <w:trHeight w:val="61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3340160150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</w:tr>
      <w:tr>
        <w:trPr>
          <w:trHeight w:val="519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3340160150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</w:tr>
      <w:tr>
        <w:trPr>
          <w:trHeight w:val="519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Содержание объектов комунального хозяйства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3340160160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3340160160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волопровода)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335П5И1405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335П5И1405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мероприятияпо благоустройству городских округов и поселений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3340160200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736,5</w:t>
            </w:r>
          </w:p>
        </w:tc>
      </w:tr>
      <w:tr>
        <w:trPr>
          <w:trHeight w:val="48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3340160200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174,0</w:t>
            </w:r>
          </w:p>
        </w:tc>
      </w:tr>
      <w:tr>
        <w:trPr>
          <w:trHeight w:val="100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"Комплексное развитие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3500000000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432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3540000000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60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мероприятий"Комплексное развитие территорий муниципального образования"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3540100000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600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территорий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35401L5760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519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35401L5760</w:t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562,5</w:t>
            </w:r>
          </w:p>
        </w:tc>
      </w:tr>
      <w:tr>
        <w:trPr>
          <w:trHeight w:val="28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262,1</w:t>
            </w:r>
          </w:p>
        </w:tc>
      </w:tr>
      <w:tr>
        <w:trPr>
          <w:trHeight w:val="288" w:hRule="atLeast"/>
        </w:trPr>
        <w:tc>
          <w:tcPr>
            <w:tcW w:w="3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5280,0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5941,9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7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Межбюджетные трансферты,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2023 год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2024 и 2025 годов</w:t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tbl>
      <w:tblPr>
        <w:tblW w:w="9363" w:type="dxa"/>
        <w:jc w:val="left"/>
        <w:tblInd w:w="1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8"/>
        <w:gridCol w:w="6237"/>
        <w:gridCol w:w="907"/>
        <w:gridCol w:w="795"/>
        <w:gridCol w:w="796"/>
      </w:tblGrid>
      <w:tr>
        <w:trPr>
          <w:trHeight w:val="288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1046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>
        <w:trPr>
          <w:trHeight w:val="1164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>
        <w:trPr>
          <w:trHeight w:val="1872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>
        <w:trPr>
          <w:trHeight w:val="1200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137,1</w:t>
            </w:r>
          </w:p>
        </w:tc>
      </w:tr>
      <w:tr>
        <w:trPr>
          <w:trHeight w:val="1899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>
        <w:trPr>
          <w:trHeight w:val="1344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>
        <w:trPr>
          <w:trHeight w:val="288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545,9</w:t>
            </w:r>
          </w:p>
        </w:tc>
      </w:tr>
    </w:tbl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8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к бюджету муниципального образования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Залесовский сельсовет на 2023 год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 плановый период 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Порядок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ar-SA"/>
        </w:rPr>
        <w:t xml:space="preserve">предоставления иных межбюджетных трансфертов бюджету 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ar-SA"/>
        </w:rPr>
        <w:t>муниципального образования Красногвардейский район Оренбургской области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Настоящий Порядок определяет механизм и условия предоставления </w:t>
      </w:r>
      <w:r>
        <w:rPr>
          <w:sz w:val="24"/>
          <w:szCs w:val="24"/>
          <w:lang w:eastAsia="ar-SA"/>
        </w:rPr>
        <w:t>иных межбюджетных трансфертов</w:t>
      </w:r>
      <w:r>
        <w:rPr>
          <w:sz w:val="24"/>
          <w:szCs w:val="24"/>
        </w:rPr>
        <w:t xml:space="preserve"> (далее – </w:t>
      </w:r>
      <w:r>
        <w:rPr>
          <w:sz w:val="24"/>
          <w:szCs w:val="24"/>
          <w:lang w:eastAsia="ar-SA"/>
        </w:rPr>
        <w:t>межбюджетные трансферты</w:t>
      </w:r>
      <w:r>
        <w:rPr>
          <w:sz w:val="24"/>
          <w:szCs w:val="24"/>
        </w:rPr>
        <w:t>) для осуществления органами местного самоуправления района, переданных полномочий (части полномочий) по решению вопросов местного значения сельских поселений.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Предоставление </w:t>
      </w:r>
      <w:r>
        <w:rPr>
          <w:sz w:val="24"/>
          <w:szCs w:val="24"/>
          <w:lang w:eastAsia="ar-SA"/>
        </w:rPr>
        <w:t>межбюджетных трансфертов</w:t>
      </w:r>
      <w:r>
        <w:rPr>
          <w:color w:val="000000"/>
          <w:sz w:val="24"/>
          <w:szCs w:val="24"/>
        </w:rPr>
        <w:t xml:space="preserve"> муниципальному образованию Красногвардейский район осуществляется на основании соглашения</w:t>
      </w:r>
      <w:r>
        <w:rPr>
          <w:sz w:val="24"/>
          <w:szCs w:val="24"/>
        </w:rPr>
        <w:t>,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деятельности.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Consplusnonformat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bCs/>
          <w:color w:val="000000"/>
          <w:sz w:val="24"/>
          <w:szCs w:val="24"/>
        </w:rPr>
        <w:t xml:space="preserve">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>
      <w:pPr>
        <w:pStyle w:val="NormalWeb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/>
      </w:pPr>
      <w:r>
        <w:rPr>
          <w:color w:val="000000"/>
          <w:sz w:val="24"/>
          <w:szCs w:val="24"/>
        </w:rPr>
        <w:t xml:space="preserve">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bidi w:val="0"/>
        <w:spacing w:before="0" w:after="0"/>
        <w:ind w:left="0" w:right="0" w:firstLine="709"/>
        <w:jc w:val="both"/>
        <w:rPr/>
      </w:pP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 xml:space="preserve">= ((СрЗ/П*Ст1+30,2%)*12 месяцев) + ((МРОТ*Ст2+30,2%)*12 месяцев) где: </w:t>
      </w:r>
    </w:p>
    <w:p>
      <w:pPr>
        <w:pStyle w:val="Consplusnonformatmailrucssattributepostfix"/>
        <w:shd w:val="clear" w:color="auto" w:fill="FFFFFF"/>
        <w:bidi w:val="0"/>
        <w:spacing w:before="0" w:after="0"/>
        <w:ind w:left="0" w:right="0" w:firstLine="709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 xml:space="preserve">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/>
      </w:pPr>
      <w:r>
        <w:rPr>
          <w:b/>
          <w:color w:val="000000"/>
          <w:sz w:val="24"/>
          <w:szCs w:val="24"/>
        </w:rPr>
        <w:t xml:space="preserve">СрЗ/П </w:t>
      </w:r>
      <w:r>
        <w:rPr>
          <w:color w:val="000000"/>
          <w:sz w:val="24"/>
          <w:szCs w:val="24"/>
        </w:rPr>
        <w:t>– среднемесячная заработная плата работников учреждений культуры.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/>
      </w:pPr>
      <w:r>
        <w:rPr>
          <w:color w:val="000000"/>
          <w:sz w:val="24"/>
          <w:szCs w:val="24"/>
        </w:rPr>
        <w:t>СрЗ/П =Ср эк *Пр%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>Ср эк</w:t>
      </w:r>
      <w:r>
        <w:rPr>
          <w:color w:val="000000"/>
          <w:sz w:val="24"/>
          <w:szCs w:val="24"/>
        </w:rPr>
        <w:t>- среднемесячная заработная плата по экономики в Оренбургской области.</w:t>
      </w:r>
    </w:p>
    <w:p>
      <w:pPr>
        <w:pStyle w:val="Consplusnormalmailrucssattributepostfix"/>
        <w:shd w:val="clear" w:color="auto" w:fill="FFFFFF"/>
        <w:bidi w:val="0"/>
        <w:spacing w:beforeAutospacing="0" w:before="0" w:afterAutospacing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 </w:t>
      </w:r>
      <w:r>
        <w:rPr>
          <w:color w:val="000000"/>
          <w:sz w:val="24"/>
          <w:szCs w:val="24"/>
        </w:rPr>
        <w:t xml:space="preserve">–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области, устанавливаемой соглашением </w:t>
      </w:r>
      <w:r>
        <w:rPr>
          <w:sz w:val="24"/>
          <w:szCs w:val="24"/>
        </w:rPr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b/>
          <w:color w:val="000000"/>
          <w:sz w:val="24"/>
          <w:szCs w:val="24"/>
        </w:rPr>
        <w:t xml:space="preserve">Ст1 </w:t>
      </w:r>
      <w:r>
        <w:rPr>
          <w:color w:val="000000"/>
          <w:sz w:val="24"/>
          <w:szCs w:val="24"/>
        </w:rPr>
        <w:t>– количество ставок работников культуры;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b/>
          <w:color w:val="000000"/>
          <w:sz w:val="24"/>
          <w:szCs w:val="24"/>
        </w:rPr>
        <w:t>МРОТ</w:t>
      </w:r>
      <w:r>
        <w:rPr>
          <w:color w:val="000000"/>
          <w:sz w:val="24"/>
          <w:szCs w:val="24"/>
        </w:rPr>
        <w:t>– минимальный размер оплаты труда;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b/>
          <w:color w:val="000000"/>
          <w:sz w:val="24"/>
          <w:szCs w:val="24"/>
        </w:rPr>
        <w:t xml:space="preserve">Ст2 </w:t>
      </w:r>
      <w:r>
        <w:rPr>
          <w:color w:val="000000"/>
          <w:sz w:val="24"/>
          <w:szCs w:val="24"/>
        </w:rPr>
        <w:t>– количество ставок технического (обслуживающего) персонала.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/>
      </w:pPr>
      <w:bookmarkStart w:id="0" w:name="_GoBack"/>
      <w:bookmarkEnd w:id="0"/>
      <w:r>
        <w:rPr>
          <w:color w:val="000000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Методика расчета объема межбюджетных трансфертов в части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переданных полномочий по </w:t>
      </w:r>
      <w:r>
        <w:rPr>
          <w:b/>
          <w:sz w:val="24"/>
          <w:szCs w:val="24"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color w:val="000000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sz w:val="24"/>
          <w:szCs w:val="24"/>
        </w:rPr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>
        <w:rPr>
          <w:bCs/>
          <w:color w:val="000000"/>
          <w:sz w:val="24"/>
          <w:szCs w:val="24"/>
        </w:rPr>
        <w:t xml:space="preserve">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color w:val="000000"/>
          <w:sz w:val="24"/>
          <w:szCs w:val="24"/>
        </w:rPr>
        <w:t xml:space="preserve">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jc w:val="both"/>
        <w:rPr/>
      </w:pP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>= Мс* 100,0 рублей,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Msonormalmailrucssattributepostfix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Мс </w:t>
      </w:r>
      <w:r>
        <w:rPr>
          <w:color w:val="000000"/>
          <w:sz w:val="24"/>
          <w:szCs w:val="24"/>
        </w:rPr>
        <w:t>– численность муниципальных служащих.</w:t>
      </w:r>
    </w:p>
    <w:p>
      <w:pPr>
        <w:pStyle w:val="Msonormalmailrucssattributepostfix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Методика расчета объема межбюджетных трансфертов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 части переданных полномочий по </w:t>
      </w:r>
      <w:r>
        <w:rPr>
          <w:b/>
          <w:sz w:val="24"/>
          <w:szCs w:val="24"/>
        </w:rPr>
        <w:t>осуществлению внешнего муниципального финансового контроля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ConsPlusNonformat"/>
        <w:widowControl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 </w:t>
      </w:r>
      <w:r>
        <w:rPr>
          <w:rFonts w:cs="Times New Roman" w:ascii="Times New Roman" w:hAnsi="Times New Roman"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sz w:val="24"/>
          <w:szCs w:val="24"/>
        </w:rPr>
        <w:t xml:space="preserve"> =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 CYR" w:cs="Times New Roman" w:ascii="Times New Roman" w:hAnsi="Times New Roman"/>
          <w:sz w:val="24"/>
          <w:szCs w:val="24"/>
        </w:rPr>
        <w:t xml:space="preserve">ФОТ / Н * Нi + </w:t>
      </w:r>
      <w:r>
        <w:rPr>
          <w:rFonts w:eastAsia="Times New Roman CYR" w:cs="Times New Roman" w:ascii="Times New Roman" w:hAnsi="Times New Roman"/>
          <w:sz w:val="24"/>
          <w:szCs w:val="24"/>
          <w:lang w:val="en-US"/>
        </w:rPr>
        <w:t>R</w:t>
      </w:r>
      <w:r>
        <w:rPr>
          <w:rFonts w:cs="Times New Roman" w:ascii="Times New Roman" w:hAnsi="Times New Roman"/>
          <w:sz w:val="24"/>
          <w:szCs w:val="24"/>
        </w:rPr>
        <w:t xml:space="preserve"> ,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cs="Times New Roman" w:ascii="Times New Roman" w:hAnsi="Times New Roman"/>
          <w:sz w:val="24"/>
          <w:szCs w:val="24"/>
        </w:rPr>
        <w:t xml:space="preserve"> соответствующее муниципальное поселение;</w:t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ascii="Times New Roman" w:hAnsi="Times New Roman"/>
          <w:b/>
          <w:sz w:val="24"/>
          <w:szCs w:val="24"/>
        </w:rPr>
        <w:t>ФОТ</w:t>
      </w:r>
      <w:r>
        <w:rPr>
          <w:rFonts w:eastAsia="Times New Roman CYR" w:ascii="Times New Roman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ascii="Times New Roman" w:hAnsi="Times New Roman"/>
          <w:b/>
          <w:sz w:val="24"/>
          <w:szCs w:val="24"/>
        </w:rPr>
        <w:t>Н</w:t>
      </w:r>
      <w:r>
        <w:rPr>
          <w:rFonts w:eastAsia="Times New Roman CYR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eastAsia="Times New Roman CYR" w:ascii="Times New Roman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ascii="Times New Roman" w:hAnsi="Times New Roman"/>
          <w:b/>
          <w:sz w:val="24"/>
          <w:szCs w:val="24"/>
        </w:rPr>
        <w:t>Нi</w:t>
      </w:r>
      <w:r>
        <w:rPr>
          <w:rFonts w:eastAsia="Times New Roman CYR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eastAsia="Times New Roman CYR" w:ascii="Times New Roman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 – расходы на организацию и осуществление деятельности по осуществлению внешнего муниципального финансового контроля из расчета 5%.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 w:cs="Times New Roman" w:ascii="Times New Roman" w:hAnsi="Times New Roman"/>
          <w:color w:val="000000"/>
          <w:sz w:val="24"/>
          <w:szCs w:val="24"/>
          <w:lang w:eastAsia="ru-RU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Методика расчета объема межбюджетных трансфертов в части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переданных полномочий по составлению проекта бюджета, исполнению бюджета, осуществления контроля за его исполнением, составлению отчета об исполнении бюджета</w:t>
      </w:r>
    </w:p>
    <w:p>
      <w:pPr>
        <w:pStyle w:val="Msonormalmailrucssattributepostfix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spacing w:lineRule="atLeast" w:line="10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</w:t>
      </w:r>
      <w:r>
        <w:rPr>
          <w:rFonts w:ascii="Times New Roman" w:hAnsi="Times New Roman"/>
          <w:bCs/>
          <w:sz w:val="24"/>
          <w:szCs w:val="24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i </w:t>
      </w:r>
      <w:r>
        <w:rPr>
          <w:rFonts w:cs="Times New Roman" w:ascii="Times New Roman" w:hAnsi="Times New Roman"/>
          <w:sz w:val="24"/>
          <w:szCs w:val="24"/>
        </w:rPr>
        <w:t xml:space="preserve">= </w:t>
      </w:r>
      <w:r>
        <w:rPr>
          <w:rFonts w:eastAsia="Times New Roman CYR" w:ascii="Times New Roman" w:hAnsi="Times New Roman"/>
          <w:sz w:val="24"/>
          <w:szCs w:val="24"/>
        </w:rPr>
        <w:t>ФОТ</w:t>
      </w:r>
      <w:r>
        <w:rPr>
          <w:rFonts w:cs="Times New Roman" w:ascii="Times New Roman" w:hAnsi="Times New Roman"/>
          <w:sz w:val="24"/>
          <w:szCs w:val="24"/>
        </w:rPr>
        <w:t xml:space="preserve"> +30,2%+</w:t>
      </w:r>
      <w:r>
        <w:rPr>
          <w:rFonts w:cs="Times New Roman" w:ascii="Times New Roman" w:hAnsi="Times New Roman"/>
          <w:sz w:val="24"/>
          <w:szCs w:val="24"/>
          <w:lang w:val="en-US"/>
        </w:rPr>
        <w:t>Ri</w:t>
      </w:r>
      <w:r>
        <w:rPr>
          <w:rFonts w:cs="Times New Roman" w:ascii="Times New Roman" w:hAnsi="Times New Roman"/>
          <w:sz w:val="24"/>
          <w:szCs w:val="24"/>
        </w:rPr>
        <w:t xml:space="preserve">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 CYR"/>
          <w:b/>
          <w:sz w:val="24"/>
          <w:szCs w:val="24"/>
        </w:rPr>
        <w:t>ФОТ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color w:val="000000"/>
          <w:sz w:val="24"/>
          <w:szCs w:val="24"/>
        </w:rPr>
        <w:t xml:space="preserve">годовой фонд заработная платы бухгалтера </w:t>
      </w:r>
      <w:r>
        <w:rPr>
          <w:sz w:val="24"/>
          <w:szCs w:val="24"/>
        </w:rPr>
        <w:t>МКУ «Центр бюджетного учета и отчетности»;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Ri</w:t>
      </w:r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>расходы на организацию и осуществление деятельности по</w:t>
      </w:r>
      <w:r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из расчета 24% от годового фонда оплаты труда, с учетом начислений на выплаты по оплате труда</w:t>
      </w:r>
      <w:r>
        <w:rPr>
          <w:rFonts w:eastAsia="Times New Roman CYR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бухгалтера </w:t>
      </w:r>
      <w:r>
        <w:rPr>
          <w:sz w:val="24"/>
          <w:szCs w:val="24"/>
        </w:rPr>
        <w:t>МКУ «Центр бюджетного учета и отчетности».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Методика расчета объема межбюджетных трансфертов в части </w:t>
      </w:r>
    </w:p>
    <w:p>
      <w:pPr>
        <w:pStyle w:val="Msonormalmailrucssattributepostfix"/>
        <w:spacing w:beforeAutospacing="0" w:before="0" w:afterAutospacing="0"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переданных полномочий по </w:t>
      </w:r>
      <w:r>
        <w:rPr>
          <w:b/>
          <w:sz w:val="24"/>
          <w:szCs w:val="24"/>
        </w:rPr>
        <w:t>развитию системы градорегулирования в муниципальном образовании</w:t>
      </w:r>
    </w:p>
    <w:p>
      <w:pPr>
        <w:pStyle w:val="Msonormalmailrucssattributepostfix"/>
        <w:spacing w:beforeAutospacing="0" w:before="0" w:afterAutospacing="0" w:after="0"/>
        <w:ind w:firstLine="708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color w:val="000000"/>
          <w:sz w:val="24"/>
          <w:szCs w:val="24"/>
        </w:rPr>
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</w:r>
      <w:r>
        <w:rPr>
          <w:sz w:val="24"/>
          <w:szCs w:val="24"/>
        </w:rPr>
        <w:t>развитию системы градорегулирования в муниципальном образовании</w:t>
      </w:r>
      <w:r>
        <w:rPr>
          <w:bCs/>
          <w:color w:val="000000"/>
          <w:sz w:val="24"/>
          <w:szCs w:val="24"/>
        </w:rPr>
        <w:t xml:space="preserve">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color w:val="000000"/>
          <w:sz w:val="24"/>
          <w:szCs w:val="24"/>
        </w:rPr>
        <w:t xml:space="preserve">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Consplusnonformatmailrucssattributepostfix"/>
        <w:shd w:val="clear" w:color="auto" w:fill="FFFFFF"/>
        <w:spacing w:beforeAutospacing="0" w:before="0" w:afterAutospacing="0" w:after="0"/>
        <w:jc w:val="both"/>
        <w:rPr/>
      </w:pP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>= Ко* 1000,0 рублей, где:</w:t>
      </w:r>
    </w:p>
    <w:p>
      <w:pPr>
        <w:pStyle w:val="Consplusnormalmailrucssattributepostfix"/>
        <w:shd w:val="clear" w:color="auto" w:fill="FFFFFF"/>
        <w:spacing w:beforeAutospacing="0" w:before="0" w:afterAutospacing="0" w:after="0"/>
        <w:ind w:firstLine="708"/>
        <w:jc w:val="both"/>
        <w:rPr/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полномочий;</w:t>
      </w:r>
    </w:p>
    <w:p>
      <w:pPr>
        <w:pStyle w:val="Msonormalmailrucssattributepostfix"/>
        <w:shd w:val="clear" w:color="auto" w:fill="FFFFFF"/>
        <w:spacing w:beforeAutospacing="0" w:before="0" w:afterAutospacing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Ко </w:t>
      </w:r>
      <w:r>
        <w:rPr>
          <w:color w:val="000000"/>
          <w:sz w:val="24"/>
          <w:szCs w:val="24"/>
        </w:rPr>
        <w:t>– количество исполнительных органов местного самоуправления.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6.Методика расчета объема межбюджетных трансфертов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в части переданных полномочий по осуществлению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земельного контроля.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предоставляемого бюджету муниципального образования Красногвардейский район из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бюджета поселения на осуществление переданных полномочий по муниципальному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земельному контролю.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ascii="Times New Roman" w:hAnsi="Times New Roman"/>
          <w:sz w:val="24"/>
          <w:szCs w:val="24"/>
        </w:rPr>
        <w:t>Размер межбюджетного трансферта, передаваемого поселением в бюджет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рассчитывается по формуле: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А= Srn* К , где: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- объем финансирования переданных полномочий ,руб./гол;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 r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-площадь сельского поселения согласно генплану, га.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К-объем финансирования за 1 га площади; К:2руб /га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- соответствующее муниципальное поселение;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межбюджетного трансферта устанавливается в тысячах рублей с одним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десятичным знаком после запятой.</w:t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20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9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Программа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муниципальных внутренних заимствований в валюте Российской Федерации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Программа муниципальных внутренних заимствований на 2023 год и на плановый период 2024 и 2025 годов предусматривает, при необходимости, покрытие дефицита бюджета поселения за счет привлечения кредитов от других бюджетов бюджетной системы Российской Федерации, кредитных организаций.</w:t>
      </w:r>
    </w:p>
    <w:tbl>
      <w:tblPr>
        <w:tblW w:w="9335" w:type="dxa"/>
        <w:jc w:val="left"/>
        <w:tblInd w:w="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4"/>
        <w:gridCol w:w="740"/>
        <w:gridCol w:w="739"/>
        <w:gridCol w:w="712"/>
      </w:tblGrid>
      <w:tr>
        <w:trPr>
          <w:trHeight w:val="288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Вид заимствований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600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792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 Размещение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780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 Погашение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588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 Получение кредитов от кредитных организаций в валюте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660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552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588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 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1059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 муниципальным образованием Залесовский сельсовет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852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348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2.Погашение основной суммы долга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1068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муниципальным образованием Залесовский сельсовет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852" w:hRule="atLeast"/>
        </w:trPr>
        <w:tc>
          <w:tcPr>
            <w:tcW w:w="7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10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 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Основные параметры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первоочередных расходов за счет средств местного бюджета, отнесенных к полномочиям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органов местного самоуправления на 2023 год</w:t>
      </w:r>
    </w:p>
    <w:p>
      <w:pPr>
        <w:pStyle w:val="Normal"/>
        <w:bidi w:val="0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(тыс. рублей)</w:t>
      </w:r>
    </w:p>
    <w:tbl>
      <w:tblPr>
        <w:tblW w:w="9321" w:type="dxa"/>
        <w:jc w:val="left"/>
        <w:tblInd w:w="12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4"/>
        <w:gridCol w:w="7428"/>
        <w:gridCol w:w="1209"/>
      </w:tblGrid>
      <w:tr>
        <w:trPr>
          <w:trHeight w:val="13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</w:tr>
      <w:tr>
        <w:trPr>
          <w:trHeight w:val="13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981,2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981,2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учреждений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9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архивов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дополнительного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7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служащие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работники ОМСУ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 и организаций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Численность, в т.ч.: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учреждений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архивов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работников дополнительного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3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служащие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работники ОМСУ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8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работники учреждений и организаций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7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7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629,</w:t>
            </w:r>
            <w:bookmarkStart w:id="1" w:name="_GoBack1"/>
            <w:bookmarkEnd w:id="1"/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3da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ae0522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mailrucssattributepostfix" w:customStyle="1">
    <w:name w:val="consplusnonformat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mailrucssattributepostfix" w:customStyle="1">
    <w:name w:val="consplus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normalmailrucssattributepostfix" w:customStyle="1">
    <w:name w:val="mso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 w:customStyle="1">
    <w:name w:val="ConsPlusNonformat"/>
    <w:qFormat/>
    <w:rsid w:val="00333b96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00000A"/>
      <w:sz w:val="20"/>
      <w:szCs w:val="20"/>
      <w:lang w:val="ru-RU" w:eastAsia="ar-SA" w:bidi="ar-SA"/>
    </w:rPr>
  </w:style>
  <w:style w:type="paragraph" w:styleId="ConsPlusNormal" w:customStyle="1">
    <w:name w:val="ConsPlusNormal"/>
    <w:qFormat/>
    <w:rsid w:val="00333b96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00000A"/>
      <w:sz w:val="20"/>
      <w:szCs w:val="20"/>
      <w:lang w:val="ru-RU" w:eastAsia="ar-SA" w:bidi="ar-SA"/>
    </w:rPr>
  </w:style>
  <w:style w:type="paragraph" w:styleId="NoSpacing">
    <w:name w:val="No Spacing"/>
    <w:uiPriority w:val="1"/>
    <w:qFormat/>
    <w:rsid w:val="00ae0522"/>
    <w:pPr>
      <w:widowControl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ae052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2"/>
      <w:lang w:val="ru-RU" w:eastAsia="zh-CN" w:bidi="ar-SA"/>
    </w:rPr>
  </w:style>
  <w:style w:type="paragraph" w:styleId="Style21">
    <w:name w:val="Header"/>
    <w:basedOn w:val="Normal"/>
    <w:pPr/>
    <w:rPr/>
  </w:style>
  <w:style w:type="paragraph" w:styleId="Style22">
    <w:name w:val="Содержимое таблицы"/>
    <w:basedOn w:val="Normal"/>
    <w:qFormat/>
    <w:pPr/>
    <w:rPr/>
  </w:style>
  <w:style w:type="paragraph" w:styleId="Style23">
    <w:name w:val="Заголовок таблицы"/>
    <w:basedOn w:val="Style22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Application>LibreOffice/5.3.0.3$Windows_X86_64 LibreOffice_project/7074905676c47b82bbcfbea1aeefc84afe1c50e1</Application>
  <Pages>52</Pages>
  <Words>9880</Words>
  <Characters>68188</Characters>
  <CharactersWithSpaces>76018</CharactersWithSpaces>
  <Paragraphs>2899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2019-12-21T18:09:00Z</dcterms:created>
  <dc:creator>МАМА</dc:creator>
  <dc:description/>
  <dc:language>ru-RU</dc:language>
  <cp:lastModifiedBy/>
  <cp:lastPrinted>2022-01-11T14:24:24Z</cp:lastPrinted>
  <dcterms:modified xsi:type="dcterms:W3CDTF">2022-12-20T11:07:30Z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