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spacing w:before="73" w:after="0"/>
        <w:jc w:val="center"/>
        <w:rPr>
          <w:b/>
          <w:b/>
          <w:color w:val="00000A"/>
          <w:spacing w:val="-1"/>
          <w:sz w:val="26"/>
        </w:rPr>
      </w:pPr>
      <w:r>
        <w:rPr>
          <w:b/>
          <w:color w:val="00000A"/>
          <w:spacing w:val="-1"/>
          <w:sz w:val="26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2715895</wp:posOffset>
            </wp:positionH>
            <wp:positionV relativeFrom="paragraph">
              <wp:posOffset>21590</wp:posOffset>
            </wp:positionV>
            <wp:extent cx="744855" cy="89090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46" t="-420" r="-546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8"/>
        <w:spacing w:before="73" w:after="0"/>
        <w:jc w:val="center"/>
        <w:rPr>
          <w:b/>
          <w:b/>
          <w:color w:val="00000A"/>
          <w:spacing w:val="-1"/>
          <w:sz w:val="26"/>
        </w:rPr>
      </w:pPr>
      <w:r>
        <w:rPr>
          <w:b/>
          <w:color w:val="00000A"/>
          <w:spacing w:val="-1"/>
          <w:sz w:val="26"/>
        </w:rPr>
      </w:r>
    </w:p>
    <w:p>
      <w:pPr>
        <w:pStyle w:val="Style18"/>
        <w:spacing w:before="73" w:after="0"/>
        <w:jc w:val="center"/>
        <w:rPr>
          <w:b/>
          <w:b/>
          <w:color w:val="00000A"/>
          <w:spacing w:val="-1"/>
          <w:sz w:val="26"/>
        </w:rPr>
      </w:pPr>
      <w:r>
        <w:rPr>
          <w:b/>
          <w:color w:val="00000A"/>
          <w:spacing w:val="-1"/>
          <w:sz w:val="26"/>
        </w:rPr>
      </w:r>
    </w:p>
    <w:p>
      <w:pPr>
        <w:pStyle w:val="Style18"/>
        <w:spacing w:before="73" w:after="0"/>
        <w:jc w:val="center"/>
        <w:rPr>
          <w:b/>
          <w:b/>
          <w:color w:val="00000A"/>
          <w:spacing w:val="-1"/>
          <w:sz w:val="26"/>
        </w:rPr>
      </w:pPr>
      <w:r>
        <w:rPr>
          <w:b/>
          <w:color w:val="00000A"/>
          <w:spacing w:val="-1"/>
          <w:sz w:val="2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color w:val="00000A"/>
          <w:spacing w:val="-1"/>
          <w:sz w:val="26"/>
        </w:rPr>
        <w:t>СОВЕТ</w:t>
      </w:r>
      <w:r>
        <w:rPr>
          <w:b/>
          <w:color w:val="00000A"/>
          <w:spacing w:val="-14"/>
          <w:sz w:val="26"/>
        </w:rPr>
        <w:t xml:space="preserve"> </w:t>
      </w:r>
      <w:r>
        <w:rPr>
          <w:b/>
          <w:color w:val="00000A"/>
          <w:spacing w:val="-1"/>
          <w:sz w:val="26"/>
        </w:rPr>
        <w:t>ДЕПУТАТОВ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color w:val="00000A"/>
          <w:spacing w:val="-1"/>
          <w:sz w:val="26"/>
        </w:rPr>
        <w:t>МУНИЦИПАЛЬНОГО</w:t>
      </w:r>
      <w:r>
        <w:rPr>
          <w:b/>
          <w:color w:val="00000A"/>
          <w:spacing w:val="-15"/>
          <w:sz w:val="26"/>
        </w:rPr>
        <w:t xml:space="preserve"> </w:t>
      </w:r>
      <w:r>
        <w:rPr>
          <w:b/>
          <w:color w:val="00000A"/>
          <w:spacing w:val="-1"/>
          <w:sz w:val="26"/>
        </w:rPr>
        <w:t>ОБРАЗОВАНИЯ</w:t>
      </w:r>
      <w:r>
        <w:rPr>
          <w:b/>
          <w:color w:val="00000A"/>
          <w:spacing w:val="-12"/>
          <w:sz w:val="26"/>
        </w:rPr>
        <w:t xml:space="preserve"> </w:t>
      </w:r>
      <w:r>
        <w:rPr>
          <w:b/>
          <w:color w:val="00000A"/>
          <w:spacing w:val="-1"/>
          <w:sz w:val="26"/>
        </w:rPr>
        <w:t>ЗАЛЕСОВСКИЙ</w:t>
      </w:r>
      <w:r>
        <w:rPr>
          <w:b/>
          <w:color w:val="00000A"/>
          <w:spacing w:val="-15"/>
          <w:sz w:val="26"/>
        </w:rPr>
        <w:t xml:space="preserve"> </w:t>
      </w:r>
      <w:r>
        <w:rPr>
          <w:b/>
          <w:color w:val="00000A"/>
          <w:spacing w:val="-1"/>
          <w:sz w:val="26"/>
        </w:rPr>
        <w:t>СЕЛЬСОВЕТ</w:t>
      </w:r>
      <w:r>
        <w:rPr>
          <w:b/>
          <w:color w:val="00000A"/>
          <w:spacing w:val="-62"/>
          <w:sz w:val="26"/>
        </w:rPr>
        <w:t xml:space="preserve"> </w:t>
      </w:r>
      <w:r>
        <w:rPr>
          <w:b/>
          <w:color w:val="00000A"/>
          <w:spacing w:val="-1"/>
          <w:sz w:val="26"/>
        </w:rPr>
        <w:t>КРАСНОГВАРДЕЙСКОГО</w:t>
      </w:r>
      <w:r>
        <w:rPr>
          <w:b/>
          <w:color w:val="00000A"/>
          <w:spacing w:val="-16"/>
          <w:sz w:val="26"/>
        </w:rPr>
        <w:t xml:space="preserve"> </w:t>
      </w:r>
      <w:r>
        <w:rPr>
          <w:b/>
          <w:color w:val="00000A"/>
          <w:sz w:val="26"/>
        </w:rPr>
        <w:t>РАЙОНА</w:t>
      </w:r>
      <w:r>
        <w:rPr>
          <w:b/>
          <w:color w:val="00000A"/>
          <w:spacing w:val="-15"/>
          <w:sz w:val="26"/>
        </w:rPr>
        <w:t xml:space="preserve"> </w:t>
      </w:r>
      <w:r>
        <w:rPr>
          <w:b/>
          <w:color w:val="00000A"/>
          <w:sz w:val="26"/>
        </w:rPr>
        <w:t>ОРЕНБУРГСКОЙ</w:t>
      </w:r>
      <w:r>
        <w:rPr>
          <w:b/>
          <w:color w:val="00000A"/>
          <w:spacing w:val="-13"/>
          <w:sz w:val="26"/>
        </w:rPr>
        <w:t xml:space="preserve"> </w:t>
      </w:r>
      <w:r>
        <w:rPr>
          <w:b/>
          <w:color w:val="00000A"/>
          <w:sz w:val="26"/>
        </w:rPr>
        <w:t>ОБЛАСТИ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color w:val="00000A"/>
          <w:sz w:val="26"/>
        </w:rPr>
        <w:t>четвертого</w:t>
      </w:r>
      <w:r>
        <w:rPr>
          <w:b/>
          <w:color w:val="00000A"/>
          <w:spacing w:val="-7"/>
          <w:sz w:val="26"/>
        </w:rPr>
        <w:t xml:space="preserve"> </w:t>
      </w:r>
      <w:r>
        <w:rPr>
          <w:b/>
          <w:color w:val="00000A"/>
          <w:sz w:val="26"/>
        </w:rPr>
        <w:t>созыва</w:t>
      </w:r>
    </w:p>
    <w:p>
      <w:pPr>
        <w:pStyle w:val="Style14"/>
        <w:bidi w:val="0"/>
        <w:spacing w:lineRule="auto" w:line="240" w:before="0" w:after="0"/>
        <w:ind w:left="0" w:right="0" w:firstLine="709"/>
        <w:jc w:val="center"/>
        <w:rPr>
          <w:b/>
          <w:b/>
          <w:sz w:val="21"/>
        </w:rPr>
      </w:pPr>
      <w:r>
        <w:rPr>
          <w:b/>
          <w:sz w:val="21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b/>
          <w:b/>
          <w:color w:val="00000A"/>
          <w:sz w:val="26"/>
        </w:rPr>
      </w:pPr>
      <w:r>
        <w:rPr>
          <w:b/>
          <w:color w:val="00000A"/>
          <w:sz w:val="26"/>
        </w:rPr>
        <w:t>РЕШЕНИЕ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b/>
          <w:b/>
          <w:color w:val="00000A"/>
          <w:sz w:val="26"/>
        </w:rPr>
      </w:pPr>
      <w:r>
        <w:rPr>
          <w:b/>
          <w:color w:val="00000A"/>
          <w:sz w:val="26"/>
        </w:rPr>
      </w:r>
    </w:p>
    <w:p>
      <w:pPr>
        <w:pStyle w:val="Normal"/>
        <w:tabs>
          <w:tab w:val="left" w:pos="738" w:leader="none"/>
          <w:tab w:val="left" w:pos="8436" w:leader="none"/>
          <w:tab w:val="left" w:pos="9335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color w:val="00000A"/>
          <w:w w:val="100"/>
          <w:sz w:val="28"/>
          <w:u w:val="none"/>
        </w:rPr>
        <w:t>20.12.</w:t>
      </w:r>
      <w:r>
        <w:rPr>
          <w:color w:val="00000A"/>
          <w:sz w:val="28"/>
          <w:u w:val="none"/>
        </w:rPr>
        <w:t xml:space="preserve">2023                                                                                                       № </w:t>
      </w:r>
      <w:r>
        <w:rPr>
          <w:color w:val="00000A"/>
          <w:w w:val="100"/>
          <w:sz w:val="28"/>
          <w:u w:val="none"/>
        </w:rPr>
        <w:t>29/3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color w:val="00000A"/>
          <w:sz w:val="28"/>
        </w:rPr>
        <w:t>с.</w:t>
      </w:r>
      <w:r>
        <w:rPr>
          <w:color w:val="00000A"/>
          <w:spacing w:val="2"/>
          <w:sz w:val="28"/>
        </w:rPr>
        <w:t xml:space="preserve"> </w:t>
      </w:r>
      <w:r>
        <w:rPr>
          <w:color w:val="00000A"/>
          <w:sz w:val="28"/>
        </w:rPr>
        <w:t>Залесово</w:t>
      </w:r>
    </w:p>
    <w:p>
      <w:pPr>
        <w:pStyle w:val="Style14"/>
        <w:bidi w:val="0"/>
        <w:spacing w:lineRule="auto" w:line="240" w:before="0" w:after="0"/>
        <w:ind w:left="0" w:right="0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bookmarkStart w:id="0" w:name="__DdeLink__106513_232151537"/>
      <w:r>
        <w:rPr>
          <w:sz w:val="26"/>
        </w:rPr>
        <w:t>О</w:t>
      </w:r>
      <w:r>
        <w:rPr>
          <w:spacing w:val="-6"/>
          <w:sz w:val="26"/>
        </w:rPr>
        <w:t xml:space="preserve"> </w:t>
      </w:r>
      <w:r>
        <w:rPr>
          <w:sz w:val="26"/>
        </w:rPr>
        <w:t>бюджете</w:t>
      </w:r>
      <w:r>
        <w:rPr>
          <w:spacing w:val="-2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56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54"/>
          <w:sz w:val="26"/>
        </w:rPr>
        <w:t xml:space="preserve"> </w:t>
      </w:r>
      <w:r>
        <w:rPr>
          <w:sz w:val="26"/>
        </w:rPr>
        <w:t>Залесовский</w:t>
      </w:r>
      <w:r>
        <w:rPr>
          <w:spacing w:val="-5"/>
          <w:sz w:val="26"/>
        </w:rPr>
        <w:t xml:space="preserve"> </w:t>
      </w:r>
      <w:r>
        <w:rPr>
          <w:sz w:val="26"/>
        </w:rPr>
        <w:t>сельсовет</w:t>
      </w:r>
      <w:r>
        <w:rPr>
          <w:spacing w:val="-62"/>
          <w:sz w:val="26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sz w:val="26"/>
        </w:rPr>
        <w:t>Красногвардейского</w:t>
      </w:r>
      <w:r>
        <w:rPr>
          <w:spacing w:val="-7"/>
          <w:sz w:val="26"/>
        </w:rPr>
        <w:t xml:space="preserve"> </w:t>
      </w:r>
      <w:r>
        <w:rPr>
          <w:sz w:val="26"/>
        </w:rPr>
        <w:t>района</w:t>
      </w:r>
      <w:r>
        <w:rPr>
          <w:spacing w:val="-7"/>
          <w:sz w:val="26"/>
        </w:rPr>
        <w:t xml:space="preserve"> </w:t>
      </w:r>
      <w:r>
        <w:rPr>
          <w:sz w:val="26"/>
        </w:rPr>
        <w:t>Оренбургской</w:t>
      </w:r>
      <w:r>
        <w:rPr>
          <w:spacing w:val="-6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49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2024</w:t>
      </w:r>
      <w:r>
        <w:rPr>
          <w:spacing w:val="-7"/>
          <w:sz w:val="26"/>
        </w:rPr>
        <w:t xml:space="preserve"> </w:t>
      </w:r>
      <w:r>
        <w:rPr>
          <w:sz w:val="26"/>
        </w:rPr>
        <w:t>год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плановый</w:t>
      </w:r>
      <w:r>
        <w:rPr>
          <w:spacing w:val="-5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5"/>
          <w:sz w:val="26"/>
        </w:rPr>
        <w:t xml:space="preserve"> </w:t>
      </w:r>
      <w:r>
        <w:rPr>
          <w:sz w:val="26"/>
        </w:rPr>
        <w:t>2025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2026</w:t>
      </w:r>
      <w:r>
        <w:rPr>
          <w:spacing w:val="-2"/>
          <w:sz w:val="26"/>
        </w:rPr>
        <w:t xml:space="preserve"> </w:t>
      </w:r>
      <w:bookmarkEnd w:id="0"/>
      <w:r>
        <w:rPr>
          <w:sz w:val="26"/>
        </w:rPr>
        <w:t>годов</w:t>
      </w:r>
    </w:p>
    <w:p>
      <w:pPr>
        <w:pStyle w:val="Style14"/>
        <w:bidi w:val="0"/>
        <w:spacing w:lineRule="auto" w:line="240" w:before="0" w:after="0"/>
        <w:ind w:left="0" w:right="0" w:firstLine="709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sz w:val="26"/>
        </w:rPr>
        <w:t>В соответствии с</w:t>
      </w:r>
      <w:r>
        <w:rPr>
          <w:spacing w:val="65"/>
          <w:sz w:val="26"/>
        </w:rPr>
        <w:t xml:space="preserve"> </w:t>
      </w:r>
      <w:r>
        <w:rPr>
          <w:sz w:val="26"/>
        </w:rPr>
        <w:t>Бюджетным кодексом Российской Федерации, ФЗ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06.10.2003</w:t>
      </w:r>
      <w:r>
        <w:rPr>
          <w:spacing w:val="1"/>
          <w:sz w:val="26"/>
        </w:rPr>
        <w:t xml:space="preserve"> </w:t>
      </w:r>
      <w:r>
        <w:rPr>
          <w:sz w:val="26"/>
        </w:rPr>
        <w:t>№131-ФЗ</w:t>
      </w:r>
      <w:r>
        <w:rPr>
          <w:spacing w:val="1"/>
          <w:sz w:val="26"/>
        </w:rPr>
        <w:t xml:space="preserve"> </w:t>
      </w:r>
      <w:r>
        <w:rPr>
          <w:sz w:val="26"/>
        </w:rPr>
        <w:t>"Об</w:t>
      </w:r>
      <w:r>
        <w:rPr>
          <w:spacing w:val="1"/>
          <w:sz w:val="26"/>
        </w:rPr>
        <w:t xml:space="preserve"> </w:t>
      </w:r>
      <w:r>
        <w:rPr>
          <w:sz w:val="26"/>
        </w:rPr>
        <w:t>общих</w:t>
      </w:r>
      <w:r>
        <w:rPr>
          <w:spacing w:val="1"/>
          <w:sz w:val="26"/>
        </w:rPr>
        <w:t xml:space="preserve"> </w:t>
      </w:r>
      <w:r>
        <w:rPr>
          <w:sz w:val="26"/>
        </w:rPr>
        <w:t>принципах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местного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самоуправления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Федерации", Положением</w:t>
      </w:r>
      <w:r>
        <w:rPr>
          <w:spacing w:val="1"/>
          <w:sz w:val="26"/>
        </w:rPr>
        <w:t xml:space="preserve"> </w:t>
      </w:r>
      <w:r>
        <w:rPr>
          <w:sz w:val="26"/>
        </w:rPr>
        <w:t>«О</w:t>
      </w:r>
      <w:r>
        <w:rPr>
          <w:spacing w:val="1"/>
          <w:sz w:val="26"/>
        </w:rPr>
        <w:t xml:space="preserve"> </w:t>
      </w:r>
      <w:r>
        <w:rPr>
          <w:sz w:val="26"/>
        </w:rPr>
        <w:t>бюджетном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Залесовский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сельсовет</w:t>
      </w:r>
      <w:r>
        <w:rPr>
          <w:spacing w:val="1"/>
          <w:sz w:val="26"/>
        </w:rPr>
        <w:t xml:space="preserve"> </w:t>
      </w:r>
      <w:r>
        <w:rPr>
          <w:sz w:val="26"/>
        </w:rPr>
        <w:t>Красногвардейского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района</w:t>
      </w:r>
      <w:r>
        <w:rPr>
          <w:spacing w:val="1"/>
          <w:sz w:val="26"/>
        </w:rPr>
        <w:t xml:space="preserve"> </w:t>
      </w:r>
      <w:r>
        <w:rPr>
          <w:sz w:val="26"/>
        </w:rPr>
        <w:t>Оренбургской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области»,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утвержденным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решением</w:t>
      </w:r>
      <w:r>
        <w:rPr>
          <w:spacing w:val="1"/>
          <w:sz w:val="26"/>
        </w:rPr>
        <w:t xml:space="preserve"> </w:t>
      </w:r>
      <w:r>
        <w:rPr>
          <w:sz w:val="26"/>
        </w:rPr>
        <w:t>Совета</w:t>
      </w:r>
      <w:r>
        <w:rPr>
          <w:spacing w:val="1"/>
          <w:sz w:val="26"/>
        </w:rPr>
        <w:t xml:space="preserve"> </w:t>
      </w:r>
      <w:r>
        <w:rPr>
          <w:sz w:val="26"/>
        </w:rPr>
        <w:t>депутатов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Залесовский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сельсовет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21.12.2021</w:t>
      </w:r>
      <w:r>
        <w:rPr>
          <w:spacing w:val="1"/>
          <w:sz w:val="26"/>
        </w:rPr>
        <w:t xml:space="preserve"> </w:t>
      </w:r>
      <w:r>
        <w:rPr>
          <w:sz w:val="26"/>
        </w:rPr>
        <w:t>№</w:t>
      </w:r>
      <w:r>
        <w:rPr>
          <w:spacing w:val="1"/>
          <w:sz w:val="26"/>
        </w:rPr>
        <w:t xml:space="preserve"> </w:t>
      </w:r>
      <w:r>
        <w:rPr>
          <w:sz w:val="26"/>
        </w:rPr>
        <w:t>13/2,</w:t>
      </w:r>
      <w:r>
        <w:rPr>
          <w:spacing w:val="1"/>
          <w:sz w:val="26"/>
        </w:rPr>
        <w:t xml:space="preserve"> </w:t>
      </w:r>
      <w:r>
        <w:rPr>
          <w:sz w:val="26"/>
        </w:rPr>
        <w:t>Уставом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Залесовский</w:t>
      </w:r>
      <w:r>
        <w:rPr>
          <w:spacing w:val="-2"/>
          <w:sz w:val="26"/>
        </w:rPr>
        <w:t xml:space="preserve"> </w:t>
      </w:r>
      <w:r>
        <w:rPr>
          <w:sz w:val="26"/>
        </w:rPr>
        <w:t>сельсовет,</w:t>
      </w:r>
      <w:r>
        <w:rPr>
          <w:spacing w:val="-2"/>
          <w:sz w:val="26"/>
        </w:rPr>
        <w:t xml:space="preserve"> </w:t>
      </w:r>
      <w:r>
        <w:rPr>
          <w:sz w:val="26"/>
        </w:rPr>
        <w:t>Совет</w:t>
      </w:r>
      <w:r>
        <w:rPr>
          <w:spacing w:val="-1"/>
          <w:sz w:val="26"/>
        </w:rPr>
        <w:t xml:space="preserve"> </w:t>
      </w:r>
      <w:r>
        <w:rPr>
          <w:sz w:val="26"/>
        </w:rPr>
        <w:t>депутатов</w:t>
      </w:r>
      <w:r>
        <w:rPr>
          <w:spacing w:val="1"/>
          <w:sz w:val="26"/>
        </w:rPr>
        <w:t xml:space="preserve"> </w:t>
      </w:r>
      <w:r>
        <w:rPr>
          <w:sz w:val="26"/>
        </w:rPr>
        <w:t>РЕШИЛ:</w:t>
      </w:r>
    </w:p>
    <w:p>
      <w:pPr>
        <w:pStyle w:val="ListParagraph"/>
        <w:tabs>
          <w:tab w:val="left" w:pos="1336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sz w:val="26"/>
        </w:rPr>
        <w:t>1. Утвердить</w:t>
      </w:r>
      <w:r>
        <w:rPr>
          <w:spacing w:val="1"/>
          <w:sz w:val="26"/>
        </w:rPr>
        <w:t xml:space="preserve"> </w:t>
      </w:r>
      <w:r>
        <w:rPr>
          <w:sz w:val="26"/>
        </w:rPr>
        <w:t>бюджет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Залесовский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сельсовет Красногвардейского района Оренбургской области на 2024 год 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плановый</w:t>
      </w:r>
      <w:r>
        <w:rPr>
          <w:spacing w:val="-3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-3"/>
          <w:sz w:val="26"/>
        </w:rPr>
        <w:t xml:space="preserve"> </w:t>
      </w:r>
      <w:r>
        <w:rPr>
          <w:sz w:val="26"/>
        </w:rPr>
        <w:t>2025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2026 годы</w:t>
      </w:r>
      <w:r>
        <w:rPr>
          <w:spacing w:val="-3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2"/>
          <w:sz w:val="26"/>
        </w:rPr>
        <w:t xml:space="preserve"> </w:t>
      </w:r>
      <w:r>
        <w:rPr>
          <w:sz w:val="26"/>
        </w:rPr>
        <w:t>приложению.</w:t>
      </w:r>
    </w:p>
    <w:p>
      <w:pPr>
        <w:pStyle w:val="ListParagraph"/>
        <w:tabs>
          <w:tab w:val="left" w:pos="1247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sz w:val="26"/>
        </w:rPr>
        <w:t>2. Установить, что настоящее решение вступает в силу с 01 января</w:t>
      </w:r>
      <w:r>
        <w:rPr>
          <w:spacing w:val="1"/>
          <w:sz w:val="26"/>
        </w:rPr>
        <w:t xml:space="preserve"> </w:t>
      </w:r>
      <w:r>
        <w:rPr>
          <w:sz w:val="26"/>
        </w:rPr>
        <w:t>2024 года после его официального опубликования в газете «Залесовский</w:t>
      </w:r>
      <w:r>
        <w:rPr>
          <w:spacing w:val="1"/>
          <w:sz w:val="26"/>
        </w:rPr>
        <w:t xml:space="preserve"> </w:t>
      </w:r>
      <w:r>
        <w:rPr>
          <w:sz w:val="26"/>
        </w:rPr>
        <w:t>вестник», подлежит обнародованию и размещению на официальном сайте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Залесовский</w:t>
      </w:r>
      <w:r>
        <w:rPr>
          <w:spacing w:val="1"/>
          <w:sz w:val="26"/>
        </w:rPr>
        <w:t xml:space="preserve"> </w:t>
      </w:r>
      <w:r>
        <w:rPr>
          <w:sz w:val="26"/>
        </w:rPr>
        <w:t>сельсовет</w:t>
      </w:r>
      <w:r>
        <w:rPr>
          <w:spacing w:val="1"/>
          <w:sz w:val="26"/>
        </w:rPr>
        <w:t xml:space="preserve"> </w:t>
      </w:r>
      <w:r>
        <w:rPr>
          <w:sz w:val="26"/>
        </w:rPr>
        <w:t>Красногвардейского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района</w:t>
      </w:r>
      <w:r>
        <w:rPr>
          <w:spacing w:val="-4"/>
          <w:sz w:val="26"/>
        </w:rPr>
        <w:t xml:space="preserve"> </w:t>
      </w:r>
      <w:r>
        <w:rPr>
          <w:sz w:val="26"/>
        </w:rPr>
        <w:t>Оренбургской</w:t>
      </w:r>
      <w:r>
        <w:rPr>
          <w:spacing w:val="-3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сети</w:t>
      </w:r>
      <w:r>
        <w:rPr>
          <w:spacing w:val="-3"/>
          <w:sz w:val="26"/>
        </w:rPr>
        <w:t xml:space="preserve"> </w:t>
      </w:r>
      <w:r>
        <w:rPr>
          <w:sz w:val="26"/>
        </w:rPr>
        <w:t>«Интернет».</w:t>
      </w:r>
    </w:p>
    <w:p>
      <w:pPr>
        <w:pStyle w:val="ListParagraph"/>
        <w:tabs>
          <w:tab w:val="left" w:pos="1261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sz w:val="26"/>
        </w:rPr>
        <w:t>3. Возложить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1"/>
          <w:sz w:val="26"/>
        </w:rPr>
        <w:t xml:space="preserve"> </w:t>
      </w:r>
      <w:r>
        <w:rPr>
          <w:sz w:val="26"/>
        </w:rPr>
        <w:t>за исполнением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 решения на</w:t>
      </w:r>
      <w:r>
        <w:rPr>
          <w:spacing w:val="1"/>
          <w:sz w:val="26"/>
        </w:rPr>
        <w:t xml:space="preserve"> </w:t>
      </w:r>
      <w:r>
        <w:rPr>
          <w:sz w:val="26"/>
        </w:rPr>
        <w:t>постоянную комиссию по вопросам финансово - экономического развития и</w:t>
      </w:r>
      <w:r>
        <w:rPr>
          <w:spacing w:val="-63"/>
          <w:sz w:val="26"/>
        </w:rPr>
        <w:t xml:space="preserve"> </w:t>
      </w:r>
      <w:r>
        <w:rPr>
          <w:sz w:val="26"/>
        </w:rPr>
        <w:t>сельскому</w:t>
      </w:r>
      <w:r>
        <w:rPr>
          <w:spacing w:val="-6"/>
          <w:sz w:val="26"/>
        </w:rPr>
        <w:t xml:space="preserve"> </w:t>
      </w:r>
      <w:r>
        <w:rPr>
          <w:sz w:val="26"/>
        </w:rPr>
        <w:t>хозяйству.</w:t>
      </w:r>
    </w:p>
    <w:p>
      <w:pPr>
        <w:pStyle w:val="Style14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Председатель Совета депутатов                                                             В.А.Быков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Глава сельсовета                                                                              Н.Ф. Пастухова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"/>
        </w:rPr>
      </w:pPr>
      <w:r>
        <w:rPr>
          <w:sz w:val="2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"/>
        </w:rPr>
      </w:pPr>
      <w:r>
        <w:rPr>
          <w:sz w:val="2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160"/>
        <w:ind w:left="0" w:right="-5" w:hanging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160"/>
        <w:ind w:left="0" w:right="-5" w:hanging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Разослано: в дело, администрации района, прокурору района,  МКУ «Центр бюджетного учета и отчетности финансовому отделу, постоянной комиссии по вопросам финансово-экономического развития и сельскому хозяйству.</w:t>
      </w:r>
    </w:p>
    <w:p>
      <w:pPr>
        <w:pStyle w:val="Style14"/>
        <w:pageBreakBefore w:val="false"/>
        <w:bidi w:val="0"/>
        <w:spacing w:lineRule="auto" w:line="240" w:before="0" w:after="0"/>
        <w:ind w:left="0" w:right="0" w:hanging="0"/>
        <w:jc w:val="right"/>
        <w:rPr/>
      </w:pPr>
      <w:r>
        <w:rPr>
          <w:color w:val="00000A"/>
          <w:spacing w:val="-1"/>
        </w:rPr>
        <w:t>Приложение</w:t>
      </w:r>
      <w:r>
        <w:rPr>
          <w:color w:val="00000A"/>
          <w:spacing w:val="-47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/>
      </w:pPr>
      <w:r>
        <w:rPr>
          <w:color w:val="00000A"/>
        </w:rPr>
        <w:t>к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решению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Совета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депутатов</w:t>
      </w:r>
      <w:r>
        <w:rPr>
          <w:color w:val="00000A"/>
          <w:spacing w:val="-6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/>
      </w:pPr>
      <w:r>
        <w:rPr>
          <w:color w:val="00000A"/>
        </w:rPr>
        <w:t>муниципального</w:t>
      </w:r>
      <w:r>
        <w:rPr>
          <w:color w:val="00000A"/>
          <w:spacing w:val="-47"/>
        </w:rPr>
        <w:t xml:space="preserve"> </w:t>
      </w:r>
      <w:r>
        <w:rPr>
          <w:color w:val="00000A"/>
        </w:rPr>
        <w:t>образования</w:t>
      </w:r>
      <w:r>
        <w:rPr>
          <w:color w:val="00000A"/>
          <w:spacing w:val="-2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/>
      </w:pPr>
      <w:r>
        <w:rPr>
          <w:color w:val="00000A"/>
        </w:rPr>
        <w:t>Залесовский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сельсовет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/>
      </w:pPr>
      <w:r>
        <w:rPr>
          <w:color w:val="00000A"/>
        </w:rPr>
        <w:t>на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2024г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плановый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период</w:t>
      </w:r>
      <w:r>
        <w:rPr>
          <w:color w:val="00000A"/>
          <w:spacing w:val="-5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/>
      </w:pPr>
      <w:r>
        <w:rPr>
          <w:color w:val="00000A"/>
        </w:rPr>
        <w:t>2025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2026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годов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color w:val="00000A"/>
        </w:rPr>
      </w:pPr>
      <w:r>
        <w:rPr>
          <w:color w:val="00000A"/>
        </w:rPr>
        <w:t>от 20.12.2023 № 29/3</w:t>
      </w:r>
    </w:p>
    <w:p>
      <w:pPr>
        <w:pStyle w:val="Style14"/>
        <w:spacing w:before="2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pageBreakBefore w:val="false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 </w:t>
      </w:r>
    </w:p>
    <w:p>
      <w:pPr>
        <w:pStyle w:val="Style14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образования Залесовский сельсовет </w:t>
      </w:r>
    </w:p>
    <w:p>
      <w:pPr>
        <w:pStyle w:val="Style14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Красногвардейского района Оренбургской области на 2024 год </w:t>
      </w:r>
    </w:p>
    <w:p>
      <w:pPr>
        <w:pStyle w:val="Style14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и на плановый период 2025 и 2026 годы</w:t>
      </w:r>
    </w:p>
    <w:p>
      <w:pPr>
        <w:pStyle w:val="Style14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  <w:t>Статья 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1. Утвердить основные характеристики бюджета муниципального образования Залесовский сельсовет (далее - бюджет поселения) на 2024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1) прогнозируемый общий объем доходов бюджета поселения – в сумме 5941,5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2) общий объем расходов бюджета  поселения – в сумме 5941,5тыс.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3) прогнозируемый дефицит бюджета поселения - в сумме 0,0 тыс. рублей или 0,0 %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2025 года – в сумме 0,0 тыс. рублей, в том числе верхний предел долга по муниципальным гарантиям – в сумме 0,0 тыс. 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2. Утвердить основные характеристики бюджета муниципального образования Залесовский сельсовет (далее -  бюджет поселения) на 2025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1) прогнозируемый общий объем доходов бюджета поселения – в сумме 5524,8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2) общий объем расходов бюджета поселения – в сумме 5524,8 тыс. рублей, в том числе условно - утвержденные расходы в сумме 139,9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3. Утвердить основные характеристики бюджета муниципального образования Залесовский сельсовет (далее -  бюджет поселения) на 2026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1) прогнозируемый общий объем доходов бюджета поселения – в сумме 5463,1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2) общий объем расходов бюджета поселения – в сумме 5463,1 тыс. рублей, в том числе условно - утвержденные расходы в размере 263,9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рублей, в том числе верхний предел долга по муниципальным гарантиям – в сумме 0,0 тыс. 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источники внутреннего финансирования дефицита бюджета поселения на 2024 год и плановый период 2025 и 2026 годов согласно приложению 1.</w:t>
      </w:r>
    </w:p>
    <w:p>
      <w:pPr>
        <w:pStyle w:val="Style14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Учесть поступление доходов в бюджет поселения по кодам видов доходов, подвидов доходов на 2024 год  и на плановый период 2025 и 2026 годов согласно приложению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Предоставление в 2024 году и в плановом периоде 2025 и 2026 годов   рассрочек и отсрочек по уплате местных налогов и сборов и не налоговых платежей не осуществлять.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распределение бюджетных ассигнований бюджета поселения по разделам и подразделам классификации расходов бюджета поселения на 2024  год и плановый период 2025 и 2026 годов согласно приложению 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ведомственную структуру расходов бюджета поселения на 2024 год и плановый период 2025 и 2026 годов  согласно приложению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распределение бюджетных ассигнований  бюджета поселения по разделам и подразделам, целевым статьям (муниципальным программам и не программным направлениям деятельности), группам и подгруппам видам расходов классификации расходов на 2024 год  и  плановый период 2025 и 2026 годов согласно приложению  5.</w:t>
      </w:r>
    </w:p>
    <w:p>
      <w:pPr>
        <w:pStyle w:val="Style14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8.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распределение бюджетных ассигнований бюджета поселения по целевым статьям(муниципальным программам и не 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 согласно приложению 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9.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 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  согласно приложению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10.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 исполненных обязательств.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Обязательства, вытекающие из договоров, исполнение которых осуществляется за счет средств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Учет обязательств, подлежащих исполнению за счет средств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финансовый отдел администрации района.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недействительными по иску вышестоящей организации или  администрацией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Органы местного самоуправления муниципального образования не вправе принимать в 2024 году и в плановом периоде 2025и 2026 годах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Установить, что исполнение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бюджета поселения и в соответствии с законодательством Российской Федерации и законодательством Оренбургской области.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2025 году и в плановом периоде 2025 и 2026 годах,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бюджета поселения в 2024 году и в плановом периоде 2025 и 2026 годах, а также после внесения соответствующих изменений в настоящее Решение.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на 2024 год и плановый период 2025 и 2026 годах.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субсидии и иные межбюджетные трансферты, предусмотренные настоящим решением, предоставляются в порядке и условиях определенных правовыми актами  администрации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Установить, что в 2024 году и плановом периоде 2025 и 2026 годах  средства, полученные от оказания платных 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общий объем бюджетных ассигнований на исполнение публичных нормативных обязательств на 2024 год и плановый период 2025 и 2026 годах в сумме 0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объем бюджетных ассигнований дорожного фонда муниципального образования Залесовский сельсовет на 2024 год в размере 574,7 тыс. рублей, на 2025 год – в сумме 586,9 тыс. рублей, на 2026 год – в сумме 609,2 тыс.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18.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19.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Утвердить программу муниципальных внутренних заимствований на 2024 год и плановый период 2025 и 2026 годов   согласно приложению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ru-RU"/>
        </w:rPr>
        <w:t>Статья 20.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- увеличение бюджетных ассигнований за счет средств межбюджетных трансфертов, предусмотренных в рамках мероприятий по ликвидации последствий чрезвычайных ситуаций;</w:t>
      </w:r>
    </w:p>
    <w:p>
      <w:pPr>
        <w:pStyle w:val="Normal"/>
        <w:shd w:val="clear" w:color="auto" w:fill="FFFFFF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lang w:eastAsia="ru-RU"/>
        </w:rPr>
        <w:t xml:space="preserve">- 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 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Залесовский сельсовет Красногвардейского района Оренбургской области от 25.09.2020 года №2/6 «О муниципальном дорожном фонде муниципального образования Залесовский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Увеличение  бюджетных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района цели которых установлены соглашениями или иными правовыми актами администрации района;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- 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>- перераспределение бюджетных ассигнований между разделами, подразделами, целевыми статьями, видами расходов в целях обеспечения достижения условий установленных в соглашениях о передаче полномочий (части полномочий) по решению вопросов местного значения;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- 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</w:r>
    </w:p>
    <w:p>
      <w:pPr>
        <w:pStyle w:val="Normal"/>
        <w:shd w:val="clear" w:color="auto" w:fill="FFFFFF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lang w:eastAsia="ru-RU"/>
        </w:rPr>
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2024 года), учитываются при внесении изменений в настоящее Решение.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  <w:t>Статья 21.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lang w:eastAsia="ru-RU"/>
        </w:rPr>
        <w:t>Утвердить основные параметры первоочередных расходов за счет местного бюджета, отнесенных к полномочиям органов местного самоуправления на 2024 год согласно приложения №10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  <w:lang w:eastAsia="ru-RU"/>
        </w:rPr>
        <w:t>Статья 22.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lang w:eastAsia="ru-RU"/>
        </w:rPr>
        <w:t>Установить, что в 2024 году казначейскому сопровождению подлежат авансовые платежи по муниципальным контрактам о поставке товаров, выполнении работ, услуг, заключенных на сумму 100000,0 рублей и более для обеспечения муниципальных нужд Залесовского сельсовета.</w:t>
      </w:r>
    </w:p>
    <w:p>
      <w:pPr>
        <w:pStyle w:val="Style14"/>
        <w:spacing w:lineRule="auto" w:line="300" w:before="69" w:after="0"/>
        <w:ind w:left="5881" w:right="341" w:firstLine="2205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5881" w:right="341" w:firstLine="2205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9" w:after="0"/>
        <w:ind w:left="0" w:right="341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Приложение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1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к</w:t>
      </w:r>
      <w:r>
        <w:rPr>
          <w:spacing w:val="-5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бюджету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муниципального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 сельсовет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на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2024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год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2025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spacing w:before="6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sz w:val="24"/>
          <w:szCs w:val="24"/>
        </w:rPr>
        <w:t>Источники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внутреннего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финансирования</w:t>
      </w:r>
      <w:r>
        <w:rPr>
          <w:b/>
          <w:spacing w:val="43"/>
          <w:sz w:val="24"/>
          <w:szCs w:val="24"/>
        </w:rPr>
        <w:t xml:space="preserve"> </w:t>
      </w:r>
      <w:r>
        <w:rPr>
          <w:b/>
          <w:sz w:val="24"/>
          <w:szCs w:val="24"/>
        </w:rPr>
        <w:t>дефицита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бюджета</w:t>
      </w:r>
      <w:r>
        <w:rPr>
          <w:b/>
          <w:spacing w:val="-57"/>
          <w:sz w:val="24"/>
          <w:szCs w:val="24"/>
        </w:rPr>
        <w:t xml:space="preserve"> </w:t>
      </w:r>
      <w:r>
        <w:rPr>
          <w:b/>
          <w:sz w:val="24"/>
          <w:szCs w:val="24"/>
        </w:rPr>
        <w:t>поселения</w:t>
      </w:r>
      <w:r>
        <w:rPr>
          <w:b/>
          <w:spacing w:val="-5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2024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год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плановый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период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2025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2026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годов</w:t>
      </w:r>
    </w:p>
    <w:p>
      <w:pPr>
        <w:pStyle w:val="Style14"/>
        <w:spacing w:before="0" w:after="3"/>
        <w:ind w:left="0" w:right="346" w:hanging="0"/>
        <w:jc w:val="right"/>
        <w:rPr>
          <w:b/>
          <w:b/>
        </w:rPr>
      </w:pPr>
      <w:r>
        <w:rPr>
          <w:b/>
        </w:rPr>
      </w:r>
    </w:p>
    <w:p>
      <w:pPr>
        <w:pStyle w:val="Style14"/>
        <w:spacing w:before="0" w:after="3"/>
        <w:ind w:left="0" w:right="346" w:hanging="0"/>
        <w:jc w:val="right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(</w:t>
      </w:r>
      <w:r>
        <w:rPr>
          <w:sz w:val="20"/>
          <w:szCs w:val="20"/>
        </w:rPr>
        <w:t>тыс.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рублей)</w:t>
      </w:r>
    </w:p>
    <w:tbl>
      <w:tblPr>
        <w:tblW w:w="9340" w:type="dxa"/>
        <w:jc w:val="righ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60"/>
        <w:gridCol w:w="2384"/>
        <w:gridCol w:w="1069"/>
        <w:gridCol w:w="1248"/>
        <w:gridCol w:w="1179"/>
      </w:tblGrid>
      <w:tr>
        <w:trPr>
          <w:trHeight w:val="492" w:hRule="atLeast"/>
        </w:trPr>
        <w:tc>
          <w:tcPr>
            <w:tcW w:w="34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3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3496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34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3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      2024 год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2025 год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2026 год</w:t>
            </w:r>
          </w:p>
        </w:tc>
      </w:tr>
      <w:tr>
        <w:trPr>
          <w:trHeight w:val="28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579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90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32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50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540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300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52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555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68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52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Всего источников  финансирования дефицитов бюджетов</w:t>
            </w:r>
          </w:p>
        </w:tc>
        <w:tc>
          <w:tcPr>
            <w:tcW w:w="2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>
      <w:pPr>
        <w:pStyle w:val="Style14"/>
        <w:pageBreakBefore w:val="false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firstLine="2258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 w:before="77" w:after="0"/>
        <w:ind w:left="5868" w:right="351" w:hanging="0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 xml:space="preserve">Приложение </w:t>
      </w:r>
      <w:r>
        <w:rPr>
          <w:sz w:val="20"/>
          <w:szCs w:val="20"/>
        </w:rPr>
        <w:t>2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к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бюджету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</w:t>
      </w:r>
      <w:r>
        <w:rPr>
          <w:spacing w:val="47"/>
          <w:sz w:val="20"/>
          <w:szCs w:val="20"/>
        </w:rPr>
        <w:t xml:space="preserve"> </w:t>
      </w:r>
      <w:r>
        <w:rPr>
          <w:sz w:val="20"/>
          <w:szCs w:val="20"/>
        </w:rPr>
        <w:t>сельсовет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2024год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и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spacing w:before="4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sz w:val="24"/>
          <w:szCs w:val="24"/>
        </w:rPr>
        <w:t>Поступление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доходов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бюджет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поселения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кодам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видов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доходов,</w:t>
      </w:r>
      <w:r>
        <w:rPr>
          <w:b/>
          <w:spacing w:val="1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подвидов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доходов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2024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год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плановый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период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2025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2026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годов</w:t>
      </w:r>
    </w:p>
    <w:p>
      <w:pPr>
        <w:pStyle w:val="Style14"/>
        <w:spacing w:before="19" w:after="7"/>
        <w:ind w:left="0" w:right="75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before="19" w:after="7"/>
        <w:ind w:left="0" w:right="75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(тысяч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рублей)</w:t>
      </w:r>
    </w:p>
    <w:tbl>
      <w:tblPr>
        <w:tblW w:w="9336" w:type="dxa"/>
        <w:jc w:val="left"/>
        <w:tblInd w:w="10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5"/>
        <w:gridCol w:w="4478"/>
        <w:gridCol w:w="852"/>
        <w:gridCol w:w="907"/>
        <w:gridCol w:w="894"/>
      </w:tblGrid>
      <w:tr>
        <w:trPr>
          <w:trHeight w:val="315" w:hRule="atLeast"/>
        </w:trPr>
        <w:tc>
          <w:tcPr>
            <w:tcW w:w="22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4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8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</w:tr>
      <w:tr>
        <w:trPr>
          <w:trHeight w:val="288" w:hRule="exact"/>
        </w:trPr>
        <w:tc>
          <w:tcPr>
            <w:tcW w:w="22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47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92" w:hRule="exact"/>
        </w:trPr>
        <w:tc>
          <w:tcPr>
            <w:tcW w:w="22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47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3472,6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3587,1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3582,4</w:t>
            </w:r>
          </w:p>
        </w:tc>
      </w:tr>
      <w:tr>
        <w:trPr>
          <w:trHeight w:val="31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285,0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285,0</w:t>
            </w:r>
          </w:p>
        </w:tc>
      </w:tr>
      <w:tr>
        <w:trPr>
          <w:trHeight w:val="191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285,0</w:t>
            </w:r>
          </w:p>
        </w:tc>
      </w:tr>
      <w:tr>
        <w:trPr>
          <w:trHeight w:val="558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768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1451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299,7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305,3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>
        <w:trPr>
          <w:trHeight w:val="237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299,7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305,3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317,3</w:t>
            </w:r>
          </w:p>
        </w:tc>
      </w:tr>
      <w:tr>
        <w:trPr>
          <w:trHeight w:val="170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>
        <w:trPr>
          <w:trHeight w:val="2553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>
        <w:trPr>
          <w:trHeight w:val="141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310,8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330,5</w:t>
            </w:r>
          </w:p>
        </w:tc>
      </w:tr>
      <w:tr>
        <w:trPr>
          <w:trHeight w:val="238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310,8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330,5</w:t>
            </w:r>
          </w:p>
        </w:tc>
      </w:tr>
      <w:tr>
        <w:trPr>
          <w:trHeight w:val="147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-37,2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-37,9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-40,3</w:t>
            </w:r>
          </w:p>
        </w:tc>
      </w:tr>
      <w:tr>
        <w:trPr>
          <w:trHeight w:val="237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-37,2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-37,9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-40,3</w:t>
            </w:r>
          </w:p>
        </w:tc>
      </w:tr>
      <w:tr>
        <w:trPr>
          <w:trHeight w:val="34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18,0</w:t>
            </w:r>
          </w:p>
        </w:tc>
      </w:tr>
      <w:tr>
        <w:trPr>
          <w:trHeight w:val="33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18,0</w:t>
            </w:r>
          </w:p>
        </w:tc>
      </w:tr>
      <w:tr>
        <w:trPr>
          <w:trHeight w:val="27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18,0</w:t>
            </w:r>
          </w:p>
        </w:tc>
      </w:tr>
      <w:tr>
        <w:trPr>
          <w:trHeight w:val="30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843,4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843,4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843,4</w:t>
            </w:r>
          </w:p>
        </w:tc>
      </w:tr>
      <w:tr>
        <w:trPr>
          <w:trHeight w:val="264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971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27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833,4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833,4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833,4</w:t>
            </w:r>
          </w:p>
        </w:tc>
      </w:tr>
      <w:tr>
        <w:trPr>
          <w:trHeight w:val="264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>
        <w:trPr>
          <w:trHeight w:val="78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>
        <w:trPr>
          <w:trHeight w:val="288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</w:tr>
      <w:tr>
        <w:trPr>
          <w:trHeight w:val="804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</w:tr>
      <w:tr>
        <w:trPr>
          <w:trHeight w:val="34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1044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143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78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1874,8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1825,8</w:t>
            </w:r>
          </w:p>
        </w:tc>
      </w:tr>
      <w:tr>
        <w:trPr>
          <w:trHeight w:val="2401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1 11 05000 00 0000 120 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 в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учреждений и созданных ими учреждений (за исключением имущества  бюджетных и автономных учреждений,а также имущества государственных и муниципальных унитарных предприятий, том числе казенных)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1874,8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1825,8</w:t>
            </w:r>
          </w:p>
        </w:tc>
      </w:tr>
      <w:tr>
        <w:trPr>
          <w:trHeight w:val="168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1 11 05020 00 0000 120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землю,а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1621,0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1771,3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1722,3</w:t>
            </w:r>
          </w:p>
        </w:tc>
      </w:tr>
      <w:tr>
        <w:trPr>
          <w:trHeight w:val="164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1621,0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1771,3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1722,3</w:t>
            </w:r>
          </w:p>
        </w:tc>
      </w:tr>
      <w:tr>
        <w:trPr>
          <w:trHeight w:val="192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</w:tr>
      <w:tr>
        <w:trPr>
          <w:trHeight w:val="147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</w:tr>
      <w:tr>
        <w:trPr>
          <w:trHeight w:val="391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91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1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8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1 17 15030 10 0203 150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"Благоустройство общественной территории"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4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2468,9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1937,7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1880,7</w:t>
            </w:r>
          </w:p>
        </w:tc>
      </w:tr>
      <w:tr>
        <w:trPr>
          <w:trHeight w:val="558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2373,7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1937,7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1880,7</w:t>
            </w:r>
          </w:p>
        </w:tc>
      </w:tr>
      <w:tr>
        <w:trPr>
          <w:trHeight w:val="55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1854,3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1767,6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1694,4</w:t>
            </w:r>
          </w:p>
        </w:tc>
      </w:tr>
      <w:tr>
        <w:trPr>
          <w:trHeight w:val="54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1723,6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1661,0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1686,6</w:t>
            </w:r>
          </w:p>
        </w:tc>
      </w:tr>
      <w:tr>
        <w:trPr>
          <w:trHeight w:val="71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1723,6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1661,0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1686,6</w:t>
            </w:r>
          </w:p>
        </w:tc>
      </w:tr>
      <w:tr>
        <w:trPr>
          <w:trHeight w:val="97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7,8</w:t>
            </w:r>
          </w:p>
        </w:tc>
      </w:tr>
      <w:tr>
        <w:trPr>
          <w:trHeight w:val="78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сельских поселений на  выравнивание бюджетной  обеспеченности из бюджетов муниципальных районов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7,8</w:t>
            </w:r>
          </w:p>
        </w:tc>
      </w:tr>
      <w:tr>
        <w:trPr>
          <w:trHeight w:val="349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9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4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22272F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3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1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субсидии бюджетных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983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963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33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16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02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24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0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2 07 05000 10 0000 150  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55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</w:tbl>
    <w:p>
      <w:pPr>
        <w:pStyle w:val="Style14"/>
        <w:pageBreakBefore w:val="false"/>
        <w:spacing w:lineRule="auto" w:line="300" w:before="68" w:after="0"/>
        <w:ind w:left="5679" w:right="309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0" w:right="309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Приложение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№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3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к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бюджету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 сельсовет на 2024 год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и</w:t>
      </w:r>
      <w:r>
        <w:rPr>
          <w:spacing w:val="42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45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yle14"/>
        <w:bidi w:val="0"/>
        <w:spacing w:before="0" w:after="0"/>
        <w:ind w:left="0" w:right="0" w:hanging="0"/>
        <w:jc w:val="center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b/>
          <w:bCs/>
          <w:sz w:val="24"/>
          <w:szCs w:val="24"/>
        </w:rPr>
        <w:t>Распределение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бюджетных ассигнований бюджета поселения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 разделам и подразделам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классификации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расходов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бюджета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поселения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на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2024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год</w:t>
      </w:r>
      <w:r>
        <w:rPr>
          <w:b/>
          <w:bCs/>
          <w:spacing w:val="4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плановый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период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2025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2026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годов</w:t>
      </w:r>
    </w:p>
    <w:p>
      <w:pPr>
        <w:pStyle w:val="Style14"/>
        <w:spacing w:before="5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ind w:left="0" w:right="685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(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тыс.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рублей)</w:t>
      </w:r>
    </w:p>
    <w:tbl>
      <w:tblPr>
        <w:tblW w:w="9348" w:type="dxa"/>
        <w:jc w:val="left"/>
        <w:tblInd w:w="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68"/>
        <w:gridCol w:w="624"/>
        <w:gridCol w:w="576"/>
        <w:gridCol w:w="960"/>
        <w:gridCol w:w="960"/>
        <w:gridCol w:w="959"/>
      </w:tblGrid>
      <w:tr>
        <w:trPr>
          <w:trHeight w:val="255" w:hRule="atLeast"/>
        </w:trPr>
        <w:tc>
          <w:tcPr>
            <w:tcW w:w="5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6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88" w:hRule="exact"/>
        </w:trPr>
        <w:tc>
          <w:tcPr>
            <w:tcW w:w="52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</w:tr>
      <w:tr>
        <w:trPr>
          <w:trHeight w:val="525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828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312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324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324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</w:tr>
      <w:tr>
        <w:trPr>
          <w:trHeight w:val="480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468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 национальной безопасности и правоохранительной деятельности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285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637,4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671,9</w:t>
            </w:r>
          </w:p>
        </w:tc>
      </w:tr>
      <w:tr>
        <w:trPr>
          <w:trHeight w:val="315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300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300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1360,8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</w:tr>
      <w:tr>
        <w:trPr>
          <w:trHeight w:val="360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339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1085,8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360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315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504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279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288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133,9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263,9</w:t>
            </w:r>
          </w:p>
        </w:tc>
      </w:tr>
      <w:tr>
        <w:trPr>
          <w:trHeight w:val="375" w:hRule="atLeast"/>
        </w:trPr>
        <w:tc>
          <w:tcPr>
            <w:tcW w:w="5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</w:tbl>
    <w:p>
      <w:pPr>
        <w:pStyle w:val="Style14"/>
        <w:pageBreakBefore w:val="false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986" w:right="236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Приложение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№4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к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бюджету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  <w:r>
        <w:rPr>
          <w:spacing w:val="-47"/>
          <w:sz w:val="20"/>
          <w:szCs w:val="20"/>
        </w:rPr>
        <w:t xml:space="preserve"> 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сельсовет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2024 год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spacing w:before="11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1"/>
        <w:ind w:left="912" w:right="494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Ведомственная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структура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поселения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плановый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2025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годов</w:t>
      </w:r>
    </w:p>
    <w:p>
      <w:pPr>
        <w:pStyle w:val="Style14"/>
        <w:spacing w:before="6" w:after="7"/>
        <w:ind w:left="0" w:right="237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(тысяч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рублей)</w:t>
      </w:r>
    </w:p>
    <w:tbl>
      <w:tblPr>
        <w:tblW w:w="9408" w:type="dxa"/>
        <w:jc w:val="left"/>
        <w:tblInd w:w="2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92"/>
        <w:gridCol w:w="558"/>
        <w:gridCol w:w="572"/>
        <w:gridCol w:w="572"/>
        <w:gridCol w:w="1465"/>
        <w:gridCol w:w="573"/>
        <w:gridCol w:w="795"/>
        <w:gridCol w:w="795"/>
        <w:gridCol w:w="785"/>
      </w:tblGrid>
      <w:tr>
        <w:trPr>
          <w:trHeight w:val="288" w:hRule="atLeast"/>
        </w:trPr>
        <w:tc>
          <w:tcPr>
            <w:tcW w:w="3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4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3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396" w:hRule="atLeast"/>
        </w:trPr>
        <w:tc>
          <w:tcPr>
            <w:tcW w:w="3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5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28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</w:tr>
      <w:tr>
        <w:trPr>
          <w:trHeight w:val="49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69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34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80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49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94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67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3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81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территорий муниципального образования"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27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51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</w:tr>
      <w:tr>
        <w:trPr>
          <w:trHeight w:val="52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</w:tr>
      <w:tr>
        <w:trPr>
          <w:trHeight w:val="28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57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81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территорий муниципального образования"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50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>
        <w:trPr>
          <w:trHeight w:val="25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</w:tr>
      <w:tr>
        <w:trPr>
          <w:trHeight w:val="55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технологического характера, пожарная безопасность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68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49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66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74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57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63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72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54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58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48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54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40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637,4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671,9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73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6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99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61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51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31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69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55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118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110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 земельных участков, недвижимого учета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52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12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52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102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52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27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1360,8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</w:tr>
      <w:tr>
        <w:trPr>
          <w:trHeight w:val="28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129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51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93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52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>
        <w:trPr>
          <w:trHeight w:val="57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>
        <w:trPr>
          <w:trHeight w:val="3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28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1085,8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126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 повышение уровня благоустройства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86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86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86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33.4.01.60180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33.5.00 00000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86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Приоритетный проект "Вовлечение жителей Оренбургской области в процессе выбора и реализации проектов развития общественной инфраструктуры, основанных на местных инициативах" 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33.5.П5.S1703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375,6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33.5.П5.S1703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375,6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33.5.П5.И1703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33.5.П5.И1703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27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28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70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563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54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28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</w:tr>
      <w:tr>
        <w:trPr>
          <w:trHeight w:val="492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</w:tr>
      <w:tr>
        <w:trPr>
          <w:trHeight w:val="75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446,1</w:t>
            </w:r>
          </w:p>
        </w:tc>
      </w:tr>
      <w:tr>
        <w:trPr>
          <w:trHeight w:val="52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446,1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>
        <w:trPr>
          <w:trHeight w:val="49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>
        <w:trPr>
          <w:trHeight w:val="102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45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34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70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44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82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1344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1719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144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0"/>
                <w:szCs w:val="20"/>
                <w:lang w:eastAsia="ru-RU"/>
              </w:rPr>
              <w:t>133,9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0"/>
                <w:szCs w:val="20"/>
                <w:lang w:eastAsia="ru-RU"/>
              </w:rPr>
              <w:t>263,9</w:t>
            </w:r>
          </w:p>
        </w:tc>
      </w:tr>
      <w:tr>
        <w:trPr>
          <w:trHeight w:val="288" w:hRule="atLeast"/>
        </w:trPr>
        <w:tc>
          <w:tcPr>
            <w:tcW w:w="3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</w:tbl>
    <w:p>
      <w:pPr>
        <w:pStyle w:val="Normal"/>
        <w:pageBreakBefore w:val="false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before="6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firstLine="2066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spacing w:lineRule="auto" w:line="300"/>
        <w:ind w:left="5986" w:right="236" w:hanging="0"/>
        <w:jc w:val="right"/>
        <w:rPr>
          <w:spacing w:val="-1"/>
        </w:rPr>
      </w:pPr>
      <w:r>
        <w:rPr>
          <w:spacing w:val="-1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pacing w:val="-1"/>
          <w:sz w:val="20"/>
          <w:szCs w:val="20"/>
        </w:rPr>
      </w:pPr>
      <w:r>
        <w:rPr/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Приложение</w:t>
      </w:r>
      <w:r>
        <w:rPr>
          <w:sz w:val="20"/>
          <w:szCs w:val="20"/>
        </w:rPr>
        <w:t>№5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к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бюджету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сельсовет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2024 год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и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1"/>
        <w:ind w:left="324" w:right="336" w:hanging="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Распределение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бюджетных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ассигнований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поселения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разделам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подразделам,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целевым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статьям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(муниципальным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программам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непрограммным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направлениям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деятельности),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группам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подгруппам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классификации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плановый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</w:p>
    <w:p>
      <w:pPr>
        <w:pStyle w:val="Normal"/>
        <w:spacing w:lineRule="exact" w:line="229" w:before="0" w:after="0"/>
        <w:ind w:left="245" w:right="258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2025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2026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годов</w:t>
      </w:r>
    </w:p>
    <w:p>
      <w:pPr>
        <w:pStyle w:val="Style14"/>
        <w:spacing w:before="53" w:after="7"/>
        <w:ind w:left="0" w:right="237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(тысяч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рублей)</w:t>
      </w:r>
    </w:p>
    <w:tbl>
      <w:tblPr>
        <w:tblW w:w="9408" w:type="dxa"/>
        <w:jc w:val="left"/>
        <w:tblInd w:w="25" w:type="dxa"/>
        <w:tblBorders>
          <w:top w:val="single" w:sz="4" w:space="0" w:color="00000A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95"/>
        <w:gridCol w:w="628"/>
        <w:gridCol w:w="503"/>
        <w:gridCol w:w="1478"/>
        <w:gridCol w:w="572"/>
        <w:gridCol w:w="851"/>
        <w:gridCol w:w="795"/>
        <w:gridCol w:w="784"/>
      </w:tblGrid>
      <w:tr>
        <w:trPr>
          <w:trHeight w:val="288" w:hRule="atLeast"/>
        </w:trPr>
        <w:tc>
          <w:tcPr>
            <w:tcW w:w="37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4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88" w:hRule="atLeast"/>
        </w:trPr>
        <w:tc>
          <w:tcPr>
            <w:tcW w:w="379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7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>
        <w:trPr>
          <w:trHeight w:val="27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1988,6</w:t>
            </w:r>
          </w:p>
        </w:tc>
      </w:tr>
      <w:tr>
        <w:trPr>
          <w:trHeight w:val="56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69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353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99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территорий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28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51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8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74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39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84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территорий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</w:tr>
      <w:tr>
        <w:trPr>
          <w:trHeight w:val="28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28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72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 "Устойчивое развитие территорий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67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</w:tr>
      <w:tr>
        <w:trPr>
          <w:trHeight w:val="46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>
        <w:trPr>
          <w:trHeight w:val="44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70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357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69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51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73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38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63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637,4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671,9</w:t>
            </w:r>
          </w:p>
        </w:tc>
      </w:tr>
      <w:tr>
        <w:trPr>
          <w:trHeight w:val="30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56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37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7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63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55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3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86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93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 земельных участков, недвижимого учета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5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122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36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984" w:hRule="atLeast"/>
        </w:trPr>
        <w:tc>
          <w:tcPr>
            <w:tcW w:w="379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361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27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1360,8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93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сельсовет Красногвардейского района Оренбургской области»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48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82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275,0</w:t>
            </w:r>
          </w:p>
        </w:tc>
      </w:tr>
      <w:tr>
        <w:trPr>
          <w:trHeight w:val="49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317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1085,8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36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374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33.5.00 0000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Приоритетный проект "Вовлечение жителей Оренбургской области в процессе выбора и реализации проектов развития общественной инфраструктуры, основанных на местных инициативах" 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33.5.П5.S1703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375,6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33.5.П5.S1703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375,6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33.5.П5.И1703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33.5.П5.И1703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73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46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69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36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</w:tr>
      <w:tr>
        <w:trPr>
          <w:trHeight w:val="46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</w:tr>
      <w:tr>
        <w:trPr>
          <w:trHeight w:val="76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446,1</w:t>
            </w:r>
          </w:p>
        </w:tc>
      </w:tr>
      <w:tr>
        <w:trPr>
          <w:trHeight w:val="51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446,1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>
        <w:trPr>
          <w:trHeight w:val="52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>
        <w:trPr>
          <w:trHeight w:val="94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34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459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312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72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386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51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446,5</w:t>
            </w:r>
          </w:p>
        </w:tc>
      </w:tr>
      <w:tr>
        <w:trPr>
          <w:trHeight w:val="96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144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144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133,9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263,9</w:t>
            </w:r>
          </w:p>
        </w:tc>
      </w:tr>
      <w:tr>
        <w:trPr>
          <w:trHeight w:val="288" w:hRule="atLeast"/>
        </w:trPr>
        <w:tc>
          <w:tcPr>
            <w:tcW w:w="3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5424,8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</w:tbl>
    <w:p>
      <w:pPr>
        <w:pStyle w:val="Normal"/>
        <w:pageBreakBefore w:val="false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before="9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firstLine="2018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/>
        <w:ind w:left="5868" w:right="353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Приложение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№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6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к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бюджету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сельсовет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2024 год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и</w:t>
      </w:r>
      <w:r>
        <w:rPr>
          <w:spacing w:val="42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1"/>
        <w:spacing w:before="149" w:after="0"/>
        <w:ind w:left="0" w:right="37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Распределение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бюджетных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ассигнований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поселения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целевым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статьям(муниципальным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программам и непрограммным направлениям деятельности), разделам, подразделам, группам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подгруппам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видов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классификации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расходов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плановый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годов</w:t>
      </w:r>
    </w:p>
    <w:p>
      <w:pPr>
        <w:pStyle w:val="Style14"/>
        <w:spacing w:before="46" w:after="0"/>
        <w:ind w:left="0" w:right="492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before="46" w:after="0"/>
        <w:ind w:left="0" w:right="492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(тыс.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рублей)</w:t>
      </w:r>
    </w:p>
    <w:tbl>
      <w:tblPr>
        <w:tblW w:w="9349" w:type="dxa"/>
        <w:jc w:val="left"/>
        <w:tblInd w:w="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84"/>
        <w:gridCol w:w="1479"/>
        <w:gridCol w:w="502"/>
        <w:gridCol w:w="628"/>
        <w:gridCol w:w="628"/>
        <w:gridCol w:w="851"/>
        <w:gridCol w:w="795"/>
        <w:gridCol w:w="781"/>
      </w:tblGrid>
      <w:tr>
        <w:trPr>
          <w:trHeight w:val="2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Залесовский сельсовет Красногвардейского района Оренбургской области 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4006,0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3949,0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3835,0</w:t>
            </w:r>
          </w:p>
        </w:tc>
      </w:tr>
      <w:tr>
        <w:trPr>
          <w:trHeight w:val="55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4006,0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3949,0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3835,0</w:t>
            </w:r>
          </w:p>
        </w:tc>
      </w:tr>
      <w:tr>
        <w:trPr>
          <w:trHeight w:val="85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парограммы Устойчивое развитие территории муниципального образования"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2589,3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2605,2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2621,4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585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707,1</w:t>
            </w:r>
          </w:p>
        </w:tc>
      </w:tr>
      <w:tr>
        <w:trPr>
          <w:trHeight w:val="585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1281,5</w:t>
            </w:r>
          </w:p>
        </w:tc>
      </w:tr>
      <w:tr>
        <w:trPr>
          <w:trHeight w:val="525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413,2</w:t>
            </w:r>
          </w:p>
        </w:tc>
      </w:tr>
      <w:tr>
        <w:trPr>
          <w:trHeight w:val="50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864,0</w:t>
            </w:r>
          </w:p>
        </w:tc>
      </w:tr>
      <w:tr>
        <w:trPr>
          <w:trHeight w:val="315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  <w:tr>
        <w:trPr>
          <w:trHeight w:val="84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186,3</w:t>
            </w:r>
          </w:p>
        </w:tc>
      </w:tr>
      <w:tr>
        <w:trPr>
          <w:trHeight w:val="50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154,1</w:t>
            </w:r>
          </w:p>
        </w:tc>
      </w:tr>
      <w:tr>
        <w:trPr>
          <w:trHeight w:val="49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>
        <w:trPr>
          <w:trHeight w:val="121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19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194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104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62,7</w:t>
            </w:r>
          </w:p>
        </w:tc>
      </w:tr>
      <w:tr>
        <w:trPr>
          <w:trHeight w:val="999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5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>
        <w:trPr>
          <w:trHeight w:val="13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377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97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3" w:type="dxa"/>
            </w:tcMar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37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94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 Залесовский сельсовет Красногвардейского района Оренбургской области 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367,0</w:t>
            </w:r>
          </w:p>
        </w:tc>
      </w:tr>
      <w:tr>
        <w:trPr>
          <w:trHeight w:val="84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52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365,0</w:t>
            </w:r>
          </w:p>
        </w:tc>
      </w:tr>
      <w:tr>
        <w:trPr>
          <w:trHeight w:val="70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61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74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595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</w:tr>
      <w:tr>
        <w:trPr>
          <w:trHeight w:val="51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55,0</w:t>
            </w:r>
          </w:p>
        </w:tc>
      </w:tr>
      <w:tr>
        <w:trPr>
          <w:trHeight w:val="84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446,1</w:t>
            </w:r>
          </w:p>
        </w:tc>
      </w:tr>
      <w:tr>
        <w:trPr>
          <w:trHeight w:val="50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446,1</w:t>
            </w:r>
          </w:p>
        </w:tc>
      </w:tr>
      <w:tr>
        <w:trPr>
          <w:trHeight w:val="2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>
        <w:trPr>
          <w:trHeight w:val="62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>
        <w:trPr>
          <w:trHeight w:val="124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357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1044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сельсовет Красногвардейского района Оренбургской области 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31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121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</w:tr>
      <w:tr>
        <w:trPr>
          <w:trHeight w:val="106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1360,8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</w:tr>
      <w:tr>
        <w:trPr>
          <w:trHeight w:val="10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855,0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755,0</w:t>
            </w:r>
          </w:p>
        </w:tc>
      </w:tr>
      <w:tr>
        <w:trPr>
          <w:trHeight w:val="612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>
        <w:trPr>
          <w:trHeight w:val="519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>
        <w:trPr>
          <w:trHeight w:val="519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369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Приоритетный проект "Вовлечение жителей Оренбургской области в процессе выбора и реализации проектов развития общественной инфраструктуры, основанных на местных инициативах" 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33.5.П5.00000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505,8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33.5.П5.S1703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375,6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0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33.5.П5.S1703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375,6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33.5.П5.И1703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33.5.П5.И1703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133,9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263,9</w:t>
            </w:r>
          </w:p>
        </w:tc>
      </w:tr>
      <w:tr>
        <w:trPr>
          <w:trHeight w:val="288" w:hRule="atLeast"/>
        </w:trPr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3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4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5941,5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</w:tbl>
    <w:p>
      <w:pPr>
        <w:pStyle w:val="Normal"/>
        <w:pageBreakBefore w:val="false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Приложение № 7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1"/>
          <w:sz w:val="20"/>
          <w:szCs w:val="20"/>
        </w:rPr>
        <w:t>к</w:t>
      </w:r>
      <w:r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бюджету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муниципального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образования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сельсовет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2024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год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и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spacing w:before="3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ind w:left="269" w:right="278" w:hanging="2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>Межбюджетные трансферты, передаваемые в районный бюджет из бюджета поселения на</w:t>
      </w:r>
      <w:r>
        <w:rPr>
          <w:b/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осуществление части полномочий по решению вопросов местного значения в соответствии</w:t>
      </w:r>
      <w:r>
        <w:rPr>
          <w:b/>
          <w:spacing w:val="-52"/>
          <w:sz w:val="20"/>
          <w:szCs w:val="20"/>
        </w:rPr>
        <w:t xml:space="preserve"> </w:t>
      </w:r>
      <w:r>
        <w:rPr>
          <w:b/>
          <w:sz w:val="20"/>
          <w:szCs w:val="20"/>
        </w:rPr>
        <w:t>с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заключенными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соглашениями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на</w:t>
      </w:r>
      <w:r>
        <w:rPr>
          <w:b/>
          <w:spacing w:val="48"/>
          <w:sz w:val="20"/>
          <w:szCs w:val="20"/>
        </w:rPr>
        <w:t xml:space="preserve"> </w:t>
      </w:r>
      <w:r>
        <w:rPr>
          <w:b/>
          <w:sz w:val="20"/>
          <w:szCs w:val="20"/>
        </w:rPr>
        <w:t>2024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год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и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плановый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период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2025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и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2026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годов</w:t>
      </w:r>
    </w:p>
    <w:p>
      <w:pPr>
        <w:pStyle w:val="Style14"/>
        <w:spacing w:before="1" w:after="0"/>
        <w:rPr>
          <w:rFonts w:ascii="Times New Roman" w:hAnsi="Times New Roman"/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9348" w:type="dxa"/>
        <w:jc w:val="lef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684"/>
        <w:gridCol w:w="6790"/>
        <w:gridCol w:w="625"/>
        <w:gridCol w:w="624"/>
        <w:gridCol w:w="625"/>
      </w:tblGrid>
      <w:tr>
        <w:trPr>
          <w:trHeight w:val="336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855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963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>
        <w:trPr>
          <w:trHeight w:val="1521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436,1</w:t>
            </w:r>
          </w:p>
        </w:tc>
      </w:tr>
      <w:tr>
        <w:trPr>
          <w:trHeight w:val="963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157,8</w:t>
            </w:r>
          </w:p>
        </w:tc>
      </w:tr>
      <w:tr>
        <w:trPr>
          <w:trHeight w:val="1479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1018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31,7</w:t>
            </w:r>
          </w:p>
        </w:tc>
      </w:tr>
      <w:tr>
        <w:trPr>
          <w:trHeight w:val="288" w:hRule="atLeast"/>
        </w:trPr>
        <w:tc>
          <w:tcPr>
            <w:tcW w:w="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637,0</w:t>
            </w:r>
          </w:p>
        </w:tc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637,0</w:t>
            </w:r>
          </w:p>
        </w:tc>
        <w:tc>
          <w:tcPr>
            <w:tcW w:w="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637,0</w:t>
            </w:r>
          </w:p>
        </w:tc>
      </w:tr>
    </w:tbl>
    <w:p>
      <w:pPr>
        <w:pStyle w:val="Style14"/>
        <w:pageBreakBefore w:val="false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firstLine="2808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lineRule="auto" w:line="259" w:before="68" w:after="0"/>
        <w:ind w:left="5355" w:right="125" w:hanging="0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Приложение</w:t>
      </w:r>
      <w:r>
        <w:rPr>
          <w:color w:val="00000A"/>
          <w:spacing w:val="-12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№8</w:t>
      </w:r>
      <w:r>
        <w:rPr>
          <w:color w:val="00000A"/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к бюджету муниципального образования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pacing w:val="1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Залесовский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сельсовет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на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2024</w:t>
      </w:r>
      <w:r>
        <w:rPr>
          <w:color w:val="00000A"/>
          <w:spacing w:val="-3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год</w:t>
      </w:r>
      <w:r>
        <w:rPr>
          <w:color w:val="00000A"/>
          <w:spacing w:val="-4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и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на</w:t>
      </w:r>
      <w:r>
        <w:rPr>
          <w:color w:val="00000A"/>
          <w:spacing w:val="-4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плановый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период</w:t>
      </w:r>
      <w:r>
        <w:rPr>
          <w:color w:val="00000A"/>
          <w:spacing w:val="-4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2025</w:t>
      </w:r>
      <w:r>
        <w:rPr>
          <w:color w:val="00000A"/>
          <w:spacing w:val="-4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и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2026</w:t>
      </w:r>
      <w:r>
        <w:rPr>
          <w:color w:val="00000A"/>
          <w:spacing w:val="-4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годов</w:t>
      </w:r>
    </w:p>
    <w:p>
      <w:pPr>
        <w:pStyle w:val="Style14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ar-SA"/>
        </w:rPr>
        <w:t>Порядок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/>
      </w:pPr>
      <w:r>
        <w:rPr>
          <w:b/>
          <w:bCs/>
          <w:sz w:val="24"/>
          <w:szCs w:val="24"/>
          <w:lang w:eastAsia="ar-SA"/>
        </w:rPr>
        <w:t xml:space="preserve">предоставления иных межбюджетных трансфертов бюджету 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lang w:eastAsia="ar-SA"/>
        </w:rPr>
        <w:t>муниципального образования Красногвардейский район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lang w:eastAsia="ar-SA"/>
        </w:rPr>
        <w:t>Оренбургской области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Настоящий Порядок определяет механизм и условия предоставления </w:t>
      </w:r>
      <w:r>
        <w:rPr>
          <w:sz w:val="20"/>
          <w:szCs w:val="20"/>
          <w:lang w:eastAsia="ar-SA"/>
        </w:rPr>
        <w:t>иных межбюджетных трансфертов</w:t>
      </w:r>
      <w:r>
        <w:rPr>
          <w:sz w:val="20"/>
          <w:szCs w:val="20"/>
        </w:rPr>
        <w:t xml:space="preserve"> (далее – </w:t>
      </w:r>
      <w:r>
        <w:rPr>
          <w:sz w:val="20"/>
          <w:szCs w:val="20"/>
          <w:lang w:eastAsia="ar-SA"/>
        </w:rPr>
        <w:t>межбюджетные трансферты</w:t>
      </w:r>
      <w:r>
        <w:rPr>
          <w:sz w:val="20"/>
          <w:szCs w:val="20"/>
        </w:rPr>
        <w:t>) для осуществления органами местного самоуправления района, переданных полномочий (части полномочий) по решению вопросов местного значения сельских поселений.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Предоставление </w:t>
      </w:r>
      <w:r>
        <w:rPr>
          <w:sz w:val="20"/>
          <w:szCs w:val="20"/>
          <w:lang w:eastAsia="ar-SA"/>
        </w:rPr>
        <w:t>межбюджетных трансфертов</w:t>
      </w:r>
      <w:r>
        <w:rPr>
          <w:color w:val="000000"/>
          <w:sz w:val="20"/>
          <w:szCs w:val="20"/>
        </w:rPr>
        <w:t xml:space="preserve"> муниципальному образованию Красногвардейский район осуществляется на основании соглашения</w:t>
      </w:r>
      <w:r>
        <w:rPr>
          <w:sz w:val="20"/>
          <w:szCs w:val="20"/>
        </w:rPr>
        <w:t>,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деятельности.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1.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Настоящая Методика определяет расчет 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bCs/>
          <w:color w:val="000000"/>
          <w:sz w:val="20"/>
          <w:szCs w:val="20"/>
        </w:rPr>
        <w:t xml:space="preserve">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Размер межбюджетного трансферта, передаваемого поселением в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>С</w:t>
      </w:r>
      <w:r>
        <w:rPr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> = ((СрЗ/П*Ст1+30,2%)*12 месяцев) + ((МРОТ*Ст2+30,2%)*12 месяцев)  где: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</w:t>
      </w:r>
      <w:r>
        <w:rPr>
          <w:b/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 – размер межбюджетного трансферта, передаваемого поселением в 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полномочий;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СрЗ/П</w:t>
      </w:r>
      <w:r>
        <w:rPr>
          <w:color w:val="000000"/>
          <w:sz w:val="20"/>
          <w:szCs w:val="20"/>
        </w:rPr>
        <w:t> – среднемесячная заработная плата работников учреждений культуры.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>СрЗ/П =Ср эк *Пр%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Ср эк</w:t>
      </w:r>
      <w:r>
        <w:rPr>
          <w:color w:val="000000"/>
          <w:sz w:val="20"/>
          <w:szCs w:val="20"/>
        </w:rPr>
        <w:t>- среднемесячная заработная плата по экономики в Оренбургской области.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Пр </w:t>
      </w:r>
      <w:r>
        <w:rPr>
          <w:color w:val="000000"/>
          <w:sz w:val="20"/>
          <w:szCs w:val="20"/>
        </w:rPr>
        <w:t xml:space="preserve">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</w:t>
      </w:r>
      <w:r>
        <w:rPr>
          <w:sz w:val="20"/>
          <w:szCs w:val="20"/>
        </w:rPr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район;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Ст1 </w:t>
      </w:r>
      <w:r>
        <w:rPr>
          <w:color w:val="000000"/>
          <w:sz w:val="20"/>
          <w:szCs w:val="20"/>
        </w:rPr>
        <w:t>– количество ставок работников культуры;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МРОТ</w:t>
      </w:r>
      <w:r>
        <w:rPr>
          <w:color w:val="000000"/>
          <w:sz w:val="20"/>
          <w:szCs w:val="20"/>
        </w:rPr>
        <w:t>– минимальный размер оплаты труда;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Ст2 </w:t>
      </w:r>
      <w:r>
        <w:rPr>
          <w:color w:val="000000"/>
          <w:sz w:val="20"/>
          <w:szCs w:val="20"/>
        </w:rPr>
        <w:t>– количество ставок технического (обслуживающего) персонала.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Web"/>
        <w:shd w:val="clear" w:color="auto" w:fill="FFFFFF"/>
        <w:spacing w:lineRule="auto" w:line="240" w:beforeAutospacing="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 w:val="false"/>
          <w:bCs w:val="false"/>
          <w:color w:val="000000"/>
          <w:sz w:val="20"/>
          <w:szCs w:val="20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2. Методика расчета объема межбюджетных трансфертов в части переданных полномочий по </w:t>
      </w:r>
      <w:r>
        <w:rPr>
          <w:b/>
          <w:sz w:val="20"/>
          <w:szCs w:val="20"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>
        <w:rPr>
          <w:b/>
          <w:bCs/>
          <w:color w:val="000000"/>
          <w:sz w:val="20"/>
          <w:szCs w:val="20"/>
        </w:rPr>
        <w:t>.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Настоящая Методика определяет расчет 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sz w:val="20"/>
          <w:szCs w:val="20"/>
        </w:rPr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>
        <w:rPr>
          <w:bCs/>
          <w:color w:val="000000"/>
          <w:sz w:val="20"/>
          <w:szCs w:val="20"/>
        </w:rPr>
        <w:t xml:space="preserve">. 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Размер межбюджетного трансферта, передаваемого поселением в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>С </w:t>
      </w:r>
      <w:r>
        <w:rPr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> = Мс* 100,0 рублей, где: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</w:t>
      </w:r>
      <w:r>
        <w:rPr>
          <w:b/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 – размер межбюджетного трансферта, передаваемого поселением в 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полномочий;</w:t>
      </w:r>
    </w:p>
    <w:p>
      <w:pPr>
        <w:pStyle w:val="Mso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Мс </w:t>
      </w:r>
      <w:r>
        <w:rPr>
          <w:color w:val="000000"/>
          <w:sz w:val="20"/>
          <w:szCs w:val="20"/>
        </w:rPr>
        <w:t>– численность муниципальных служащих.</w:t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3. Методика расчета объема межбюджетных трансфертов в части переданных полномочий по </w:t>
      </w:r>
      <w:r>
        <w:rPr>
          <w:b/>
          <w:sz w:val="20"/>
          <w:szCs w:val="20"/>
        </w:rPr>
        <w:t>осуществлению внешнего муниципального финансового контроля.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ConsPlusNonformat"/>
        <w:widowControl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С </w:t>
      </w:r>
      <w:r>
        <w:rPr>
          <w:rFonts w:cs="Times New Roman" w:ascii="Times New Roman" w:hAnsi="Times New Roman"/>
          <w:sz w:val="20"/>
          <w:szCs w:val="20"/>
          <w:lang w:val="en-US"/>
        </w:rPr>
        <w:t>i</w:t>
      </w:r>
      <w:r>
        <w:rPr>
          <w:rFonts w:cs="Times New Roman" w:ascii="Times New Roman" w:hAnsi="Times New Roman"/>
          <w:sz w:val="20"/>
          <w:szCs w:val="20"/>
        </w:rPr>
        <w:t xml:space="preserve"> =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 CYR" w:cs="Times New Roman" w:ascii="Times New Roman" w:hAnsi="Times New Roman"/>
          <w:sz w:val="20"/>
          <w:szCs w:val="20"/>
        </w:rPr>
        <w:t xml:space="preserve">ФОТ  / Н * Нi + </w:t>
      </w:r>
      <w:r>
        <w:rPr>
          <w:rFonts w:eastAsia="Times New Roman CYR" w:cs="Times New Roman" w:ascii="Times New Roman" w:hAnsi="Times New Roman"/>
          <w:sz w:val="20"/>
          <w:szCs w:val="20"/>
          <w:lang w:val="en-US"/>
        </w:rPr>
        <w:t>R</w:t>
      </w:r>
      <w:r>
        <w:rPr>
          <w:rFonts w:cs="Times New Roman" w:ascii="Times New Roman" w:hAnsi="Times New Roman"/>
          <w:sz w:val="20"/>
          <w:szCs w:val="20"/>
        </w:rPr>
        <w:t>, где: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</w:t>
      </w:r>
      <w:r>
        <w:rPr>
          <w:b/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 – размер межбюджетного трансферта, передаваемого поселением в 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полномочий;</w:t>
      </w:r>
    </w:p>
    <w:p>
      <w:pPr>
        <w:pStyle w:val="ConsPlusNormal"/>
        <w:widowControl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lang w:val="en-US"/>
        </w:rPr>
        <w:t>i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cs="Times New Roman" w:ascii="Times New Roman" w:hAnsi="Times New Roman"/>
          <w:sz w:val="20"/>
          <w:szCs w:val="20"/>
        </w:rPr>
        <w:t xml:space="preserve"> соответствующее муниципальное поселение;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 CYR"/>
          <w:b/>
          <w:sz w:val="20"/>
          <w:szCs w:val="20"/>
        </w:rPr>
        <w:t>ФОТ</w:t>
      </w:r>
      <w:r>
        <w:rPr>
          <w:rFonts w:eastAsia="Times New Roman CYR"/>
          <w:sz w:val="20"/>
          <w:szCs w:val="20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 CYR"/>
          <w:b/>
          <w:sz w:val="20"/>
          <w:szCs w:val="20"/>
        </w:rPr>
        <w:t>Н</w:t>
      </w:r>
      <w:r>
        <w:rPr>
          <w:rFonts w:eastAsia="Times New Roman CYR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rFonts w:eastAsia="Times New Roman CYR"/>
          <w:sz w:val="20"/>
          <w:szCs w:val="20"/>
        </w:rPr>
        <w:t xml:space="preserve"> численность населения района по данным статистического учета на 1 января текущего года;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 CYR"/>
          <w:b/>
          <w:sz w:val="20"/>
          <w:szCs w:val="20"/>
        </w:rPr>
        <w:t>Нi</w:t>
      </w:r>
      <w:r>
        <w:rPr>
          <w:rFonts w:eastAsia="Times New Roman CYR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rFonts w:eastAsia="Times New Roman CYR"/>
          <w:sz w:val="20"/>
          <w:szCs w:val="20"/>
        </w:rPr>
        <w:t xml:space="preserve"> численность населения одного поселения по данным статистического учета на 1 января текущего года;</w:t>
      </w:r>
    </w:p>
    <w:p>
      <w:pPr>
        <w:pStyle w:val="NormalWeb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  <w:lang w:val="en-US"/>
        </w:rPr>
        <w:t>R</w:t>
      </w:r>
      <w:r>
        <w:rPr>
          <w:sz w:val="20"/>
          <w:szCs w:val="20"/>
        </w:rPr>
        <w:t xml:space="preserve"> – расходы на организацию и осуществление деятельности по осуществлению внешнего муниципального финансового контроля из расчета 5%.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 CYR" w:cs="Times New Roman"/>
          <w:color w:val="000000"/>
          <w:sz w:val="20"/>
          <w:szCs w:val="20"/>
          <w:lang w:eastAsia="ru-RU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 Методика расчета объема межбюджетных трансфертов в части </w:t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переданных полномочий по составлению проекта бюджета, исполнению бюджета, осуществления контроля за его исполнением, составлению отчета об исполнении бюджета.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</w:t>
      </w:r>
      <w:r>
        <w:rPr>
          <w:bCs/>
          <w:sz w:val="20"/>
          <w:szCs w:val="2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>
        <w:rPr>
          <w:sz w:val="20"/>
          <w:szCs w:val="20"/>
        </w:rPr>
        <w:t xml:space="preserve">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cs="Times New Roman"/>
          <w:sz w:val="20"/>
          <w:szCs w:val="20"/>
        </w:rPr>
        <w:t>С </w:t>
      </w:r>
      <w:r>
        <w:rPr>
          <w:rFonts w:cs="Times New Roman"/>
          <w:sz w:val="20"/>
          <w:szCs w:val="20"/>
          <w:lang w:val="en-US"/>
        </w:rPr>
        <w:t>i</w:t>
      </w:r>
      <w:r>
        <w:rPr>
          <w:rFonts w:cs="Times New Roman"/>
          <w:sz w:val="20"/>
          <w:szCs w:val="20"/>
        </w:rPr>
        <w:t> = </w:t>
      </w:r>
      <w:r>
        <w:rPr>
          <w:rFonts w:eastAsia="Times New Roman CYR"/>
          <w:sz w:val="20"/>
          <w:szCs w:val="20"/>
        </w:rPr>
        <w:t>ФОТ</w:t>
      </w:r>
      <w:r>
        <w:rPr>
          <w:rFonts w:cs="Times New Roman"/>
          <w:sz w:val="20"/>
          <w:szCs w:val="20"/>
        </w:rPr>
        <w:t xml:space="preserve"> +30,2%+</w:t>
      </w:r>
      <w:r>
        <w:rPr>
          <w:rFonts w:cs="Times New Roman"/>
          <w:sz w:val="20"/>
          <w:szCs w:val="20"/>
          <w:lang w:val="en-US"/>
        </w:rPr>
        <w:t>Ri</w:t>
      </w:r>
      <w:r>
        <w:rPr>
          <w:rFonts w:cs="Times New Roman"/>
          <w:sz w:val="20"/>
          <w:szCs w:val="20"/>
        </w:rPr>
        <w:t xml:space="preserve">  где: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</w:t>
      </w:r>
      <w:r>
        <w:rPr>
          <w:b/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 – размер межбюджетного трансферта,  передаваемого поселением в 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полномочий;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eastAsia="Times New Roman CYR"/>
          <w:b/>
          <w:sz w:val="20"/>
          <w:szCs w:val="20"/>
        </w:rPr>
        <w:t>ФОТ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 xml:space="preserve">– </w:t>
      </w:r>
      <w:r>
        <w:rPr>
          <w:color w:val="000000"/>
          <w:sz w:val="20"/>
          <w:szCs w:val="20"/>
        </w:rPr>
        <w:t xml:space="preserve">годовой фонд заработная платы бухгалтера </w:t>
      </w:r>
      <w:r>
        <w:rPr>
          <w:sz w:val="20"/>
          <w:szCs w:val="20"/>
        </w:rPr>
        <w:t>МКУ «Центр бюджетного учета и отчетности»;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  <w:lang w:val="en-US"/>
        </w:rPr>
        <w:t>Ri</w:t>
      </w:r>
      <w:r>
        <w:rPr>
          <w:color w:val="000000"/>
          <w:sz w:val="20"/>
          <w:szCs w:val="20"/>
        </w:rPr>
        <w:t xml:space="preserve"> – </w:t>
      </w:r>
      <w:r>
        <w:rPr>
          <w:sz w:val="20"/>
          <w:szCs w:val="20"/>
        </w:rPr>
        <w:t>расходы на организацию и осуществление деятельности по</w:t>
      </w:r>
      <w:r>
        <w:rPr>
          <w:color w:val="000000"/>
          <w:sz w:val="20"/>
          <w:szCs w:val="20"/>
        </w:rPr>
        <w:t xml:space="preserve"> </w:t>
      </w:r>
      <w:r>
        <w:rPr>
          <w:bCs/>
          <w:sz w:val="20"/>
          <w:szCs w:val="2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из расчета 11% от годового фонда оплаты труда, с учетом начислений на выплаты по оплате труда</w:t>
      </w:r>
      <w:r>
        <w:rPr>
          <w:rFonts w:eastAsia="Times New Roman CYR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бухгалтера </w:t>
      </w:r>
      <w:r>
        <w:rPr>
          <w:sz w:val="20"/>
          <w:szCs w:val="20"/>
        </w:rPr>
        <w:t>МКУ «Центр бюджетного учета и отчетности».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5. Методика расчета объема межбюджетных трансфертов в части </w:t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переданных полномочий по </w:t>
      </w:r>
      <w:r>
        <w:rPr>
          <w:b/>
          <w:sz w:val="20"/>
          <w:szCs w:val="20"/>
        </w:rPr>
        <w:t>развитию системы градорегулирования в муниципальном образовании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Настоящая Методика определяет расчет 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sz w:val="20"/>
          <w:szCs w:val="20"/>
        </w:rPr>
        <w:t>развитию системы градорегулирования в муниципальном образовании</w:t>
      </w:r>
      <w:r>
        <w:rPr>
          <w:bCs/>
          <w:color w:val="000000"/>
          <w:sz w:val="20"/>
          <w:szCs w:val="20"/>
        </w:rPr>
        <w:t xml:space="preserve">. 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Размер межбюджетного трансферта, передаваемого поселением в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>С </w:t>
      </w:r>
      <w:r>
        <w:rPr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> = Ко* 1000,0 рублей, где: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</w:t>
      </w:r>
      <w:r>
        <w:rPr>
          <w:b/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 – размер межбюджетного трансферта, передаваемого поселением в 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полномочий;</w:t>
      </w:r>
    </w:p>
    <w:p>
      <w:pPr>
        <w:pStyle w:val="Mso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Ко </w:t>
      </w:r>
      <w:r>
        <w:rPr>
          <w:color w:val="000000"/>
          <w:sz w:val="20"/>
          <w:szCs w:val="20"/>
        </w:rPr>
        <w:t>– количество исполнительных органов местного самоуправления.</w:t>
      </w:r>
    </w:p>
    <w:p>
      <w:pPr>
        <w:pStyle w:val="Mso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6. Методика расчета объема межбюджетных трансфертов в части </w:t>
      </w:r>
    </w:p>
    <w:p>
      <w:pPr>
        <w:pStyle w:val="Msonormalmailrucssattributepostfix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переданных полномочий по осуществлению муниципального земельного контроля.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>Настоящая Методика определяет расчет 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  <w:sz w:val="20"/>
          <w:szCs w:val="20"/>
        </w:rPr>
        <w:t xml:space="preserve">. </w:t>
      </w:r>
    </w:p>
    <w:p>
      <w:pPr>
        <w:pStyle w:val="NormalWeb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Размер межбюджетного трансферта, передаваемого поселением в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color w:val="000000"/>
          <w:sz w:val="20"/>
          <w:szCs w:val="20"/>
        </w:rPr>
        <w:t>С </w:t>
      </w:r>
      <w:r>
        <w:rPr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 = </w:t>
      </w:r>
      <w:r>
        <w:rPr>
          <w:color w:val="000000"/>
          <w:sz w:val="20"/>
          <w:szCs w:val="20"/>
          <w:lang w:val="en-US"/>
        </w:rPr>
        <w:t>Srn</w:t>
      </w:r>
      <w:r>
        <w:rPr>
          <w:color w:val="000000"/>
          <w:sz w:val="20"/>
          <w:szCs w:val="20"/>
        </w:rPr>
        <w:t>* K, где:</w:t>
      </w:r>
    </w:p>
    <w:p>
      <w:pPr>
        <w:pStyle w:val="Consplus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С</w:t>
      </w:r>
      <w:r>
        <w:rPr>
          <w:b/>
          <w:color w:val="000000"/>
          <w:sz w:val="20"/>
          <w:szCs w:val="20"/>
          <w:lang w:val="en-US"/>
        </w:rPr>
        <w:t>i</w:t>
      </w:r>
      <w:r>
        <w:rPr>
          <w:color w:val="000000"/>
          <w:sz w:val="20"/>
          <w:szCs w:val="20"/>
        </w:rPr>
        <w:t xml:space="preserve"> – размер межбюджетного трансферта, передаваемого поселением в  </w:t>
      </w:r>
      <w:r>
        <w:rPr>
          <w:sz w:val="20"/>
          <w:szCs w:val="20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0"/>
          <w:szCs w:val="20"/>
        </w:rPr>
        <w:t xml:space="preserve"> на исполнение переданных полномочий, руб/год;</w:t>
      </w:r>
    </w:p>
    <w:p>
      <w:pPr>
        <w:pStyle w:val="Mso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  <w:lang w:val="en-US"/>
        </w:rPr>
        <w:t>Srn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– площадь сельского поселения согласно генплану, га.</w:t>
      </w:r>
    </w:p>
    <w:p>
      <w:pPr>
        <w:pStyle w:val="Mso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- объем финансирования за 1 га площади; К=2руб./га</w:t>
      </w:r>
    </w:p>
    <w:p>
      <w:pPr>
        <w:pStyle w:val="Msonormalmailrucssattributepostfix"/>
        <w:shd w:val="clear" w:color="auto" w:fill="FFFFFF"/>
        <w:spacing w:lineRule="auto" w:line="240" w:beforeAutospacing="0" w:before="0" w:afterAutospacing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b/>
          <w:color w:val="000000"/>
          <w:sz w:val="20"/>
          <w:szCs w:val="20"/>
          <w:lang w:val="en-US"/>
        </w:rPr>
        <w:t>i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– соответствующее муниципальное поселение;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cs="Times New Roman"/>
          <w:color w:val="00000A"/>
          <w:sz w:val="20"/>
          <w:szCs w:val="20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Style14"/>
        <w:pageBreakBefore w:val="false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300" w:before="68" w:after="0"/>
        <w:ind w:left="5849" w:right="371" w:firstLine="2016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Приложение № 9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pacing w:val="-4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 xml:space="preserve">к бюджету муниципального </w:t>
      </w:r>
      <w:r>
        <w:rPr>
          <w:sz w:val="20"/>
          <w:szCs w:val="20"/>
        </w:rPr>
        <w:t>образования</w:t>
      </w:r>
      <w:r>
        <w:rPr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Залесовский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сельсовет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2024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год</w:t>
      </w:r>
    </w:p>
    <w:p>
      <w:pPr>
        <w:pStyle w:val="Style14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и</w:t>
      </w:r>
      <w:r>
        <w:rPr>
          <w:spacing w:val="43"/>
          <w:sz w:val="20"/>
          <w:szCs w:val="20"/>
        </w:rPr>
        <w:t xml:space="preserve"> </w:t>
      </w:r>
      <w:r>
        <w:rPr>
          <w:sz w:val="20"/>
          <w:szCs w:val="20"/>
        </w:rPr>
        <w:t>плановый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период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2025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2026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годов</w:t>
      </w:r>
    </w:p>
    <w:p>
      <w:pPr>
        <w:pStyle w:val="Style14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Style14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Программа</w:t>
      </w:r>
    </w:p>
    <w:p>
      <w:pPr>
        <w:pStyle w:val="Style14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муниципальных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внутренних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заимствований</w:t>
      </w:r>
      <w:r>
        <w:rPr>
          <w:b/>
          <w:bCs/>
          <w:spacing w:val="-7"/>
          <w:sz w:val="24"/>
          <w:szCs w:val="24"/>
        </w:rPr>
        <w:t xml:space="preserve"> </w:t>
      </w:r>
    </w:p>
    <w:p>
      <w:pPr>
        <w:pStyle w:val="Style14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на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2024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год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4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плановый период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2025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2026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годов</w:t>
      </w:r>
    </w:p>
    <w:p>
      <w:pPr>
        <w:pStyle w:val="Style14"/>
        <w:spacing w:lineRule="auto" w:line="240" w:before="0" w:after="0"/>
        <w:ind w:left="0" w:right="0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W w:w="9400" w:type="dxa"/>
        <w:jc w:val="left"/>
        <w:tblInd w:w="3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60"/>
        <w:gridCol w:w="684"/>
        <w:gridCol w:w="1354"/>
        <w:gridCol w:w="683"/>
        <w:gridCol w:w="1298"/>
        <w:gridCol w:w="628"/>
        <w:gridCol w:w="1292"/>
      </w:tblGrid>
      <w:tr>
        <w:trPr>
          <w:trHeight w:val="1242" w:hRule="atLeast"/>
        </w:trPr>
        <w:tc>
          <w:tcPr>
            <w:tcW w:w="34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  <w:tc>
          <w:tcPr>
            <w:tcW w:w="6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2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 2025 года</w:t>
            </w:r>
          </w:p>
        </w:tc>
        <w:tc>
          <w:tcPr>
            <w:tcW w:w="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</w:tr>
      <w:tr>
        <w:trPr>
          <w:trHeight w:val="516" w:hRule="atLeast"/>
        </w:trPr>
        <w:tc>
          <w:tcPr>
            <w:tcW w:w="34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 года</w:t>
            </w:r>
          </w:p>
        </w:tc>
        <w:tc>
          <w:tcPr>
            <w:tcW w:w="68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29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2026 года</w:t>
            </w:r>
          </w:p>
        </w:tc>
      </w:tr>
      <w:tr>
        <w:trPr>
          <w:trHeight w:val="28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52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52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1. Размещение муниципальных ценных бумаг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52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2. Погашение муниципальных ценных бумаг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52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Кредиты от кредитных организаций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528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1. Привлечение кредитов от кредитных организаций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792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2. Погашение кредитов, привлеченных от кредитных организаций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792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1056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158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158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1056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158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1584" w:hRule="atLeast"/>
        </w:trPr>
        <w:tc>
          <w:tcPr>
            <w:tcW w:w="3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>
      <w:pPr>
        <w:pStyle w:val="Style14"/>
        <w:spacing w:lineRule="auto" w:line="240" w:before="0" w:after="0"/>
        <w:ind w:left="0" w:right="0" w:firstLine="709"/>
        <w:jc w:val="both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firstLine="1915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spacing w:before="68" w:after="0"/>
        <w:ind w:left="6096" w:right="125" w:hanging="0"/>
        <w:jc w:val="right"/>
        <w:rPr>
          <w:color w:val="00000A"/>
        </w:rPr>
      </w:pPr>
      <w:r>
        <w:rPr>
          <w:color w:val="00000A"/>
        </w:rPr>
      </w:r>
    </w:p>
    <w:p>
      <w:pPr>
        <w:pStyle w:val="Style14"/>
        <w:bidi w:val="0"/>
        <w:spacing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Приложение № 10</w:t>
      </w:r>
    </w:p>
    <w:p>
      <w:pPr>
        <w:pStyle w:val="Style14"/>
        <w:bidi w:val="0"/>
        <w:spacing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pacing w:val="-1"/>
          <w:sz w:val="20"/>
          <w:szCs w:val="20"/>
        </w:rPr>
        <w:t>к</w:t>
      </w:r>
      <w:r>
        <w:rPr>
          <w:color w:val="00000A"/>
          <w:spacing w:val="-8"/>
          <w:sz w:val="20"/>
          <w:szCs w:val="20"/>
        </w:rPr>
        <w:t xml:space="preserve"> </w:t>
      </w:r>
      <w:r>
        <w:rPr>
          <w:color w:val="00000A"/>
          <w:spacing w:val="-1"/>
          <w:sz w:val="20"/>
          <w:szCs w:val="20"/>
        </w:rPr>
        <w:t>бюджету</w:t>
      </w:r>
      <w:r>
        <w:rPr>
          <w:color w:val="00000A"/>
          <w:spacing w:val="-12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муниципального</w:t>
      </w:r>
      <w:r>
        <w:rPr>
          <w:color w:val="00000A"/>
          <w:spacing w:val="-6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образования</w:t>
      </w:r>
      <w:r>
        <w:rPr>
          <w:color w:val="00000A"/>
          <w:spacing w:val="-47"/>
          <w:sz w:val="20"/>
          <w:szCs w:val="20"/>
        </w:rPr>
        <w:t xml:space="preserve"> </w:t>
      </w:r>
    </w:p>
    <w:p>
      <w:pPr>
        <w:pStyle w:val="Style14"/>
        <w:bidi w:val="0"/>
        <w:spacing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Залесовский</w:t>
      </w:r>
      <w:r>
        <w:rPr>
          <w:color w:val="00000A"/>
          <w:spacing w:val="-2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сельсовет</w:t>
      </w:r>
      <w:r>
        <w:rPr>
          <w:color w:val="00000A"/>
          <w:spacing w:val="-2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на</w:t>
      </w:r>
      <w:r>
        <w:rPr>
          <w:color w:val="00000A"/>
          <w:spacing w:val="-2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2024 год</w:t>
      </w:r>
    </w:p>
    <w:p>
      <w:pPr>
        <w:pStyle w:val="Style14"/>
        <w:bidi w:val="0"/>
        <w:spacing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и</w:t>
      </w:r>
      <w:r>
        <w:rPr>
          <w:color w:val="00000A"/>
          <w:spacing w:val="-6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на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плановый</w:t>
      </w:r>
      <w:r>
        <w:rPr>
          <w:color w:val="00000A"/>
          <w:spacing w:val="-5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период</w:t>
      </w:r>
      <w:r>
        <w:rPr>
          <w:color w:val="00000A"/>
          <w:spacing w:val="-6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2025</w:t>
      </w:r>
      <w:r>
        <w:rPr>
          <w:color w:val="00000A"/>
          <w:spacing w:val="-4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и</w:t>
      </w:r>
      <w:r>
        <w:rPr>
          <w:color w:val="00000A"/>
          <w:spacing w:val="-6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2026</w:t>
      </w:r>
      <w:r>
        <w:rPr>
          <w:color w:val="00000A"/>
          <w:spacing w:val="-3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годов</w:t>
      </w:r>
    </w:p>
    <w:p>
      <w:pPr>
        <w:pStyle w:val="Style14"/>
        <w:spacing w:before="4" w:after="0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ind w:left="9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color w:val="00000A"/>
          <w:sz w:val="24"/>
          <w:szCs w:val="24"/>
        </w:rPr>
        <w:t>Основные</w:t>
      </w:r>
      <w:r>
        <w:rPr>
          <w:b/>
          <w:color w:val="00000A"/>
          <w:spacing w:val="-5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параметры</w:t>
      </w:r>
    </w:p>
    <w:p>
      <w:pPr>
        <w:pStyle w:val="Normal"/>
        <w:spacing w:before="0" w:after="0"/>
        <w:ind w:left="245" w:right="154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color w:val="00000A"/>
          <w:sz w:val="24"/>
          <w:szCs w:val="24"/>
        </w:rPr>
        <w:t>первоочередных</w:t>
      </w:r>
      <w:r>
        <w:rPr>
          <w:b/>
          <w:color w:val="00000A"/>
          <w:spacing w:val="-10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расходов</w:t>
      </w:r>
      <w:r>
        <w:rPr>
          <w:b/>
          <w:color w:val="00000A"/>
          <w:spacing w:val="-10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за</w:t>
      </w:r>
      <w:r>
        <w:rPr>
          <w:b/>
          <w:color w:val="00000A"/>
          <w:spacing w:val="-9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счет</w:t>
      </w:r>
      <w:r>
        <w:rPr>
          <w:b/>
          <w:color w:val="00000A"/>
          <w:spacing w:val="-8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средств</w:t>
      </w:r>
      <w:r>
        <w:rPr>
          <w:b/>
          <w:color w:val="00000A"/>
          <w:spacing w:val="-10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местного</w:t>
      </w:r>
      <w:r>
        <w:rPr>
          <w:b/>
          <w:color w:val="00000A"/>
          <w:spacing w:val="-9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бюджета,</w:t>
      </w:r>
      <w:r>
        <w:rPr>
          <w:b/>
          <w:color w:val="00000A"/>
          <w:spacing w:val="-9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отнесенных</w:t>
      </w:r>
      <w:r>
        <w:rPr>
          <w:b/>
          <w:color w:val="00000A"/>
          <w:spacing w:val="-10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к</w:t>
      </w:r>
      <w:r>
        <w:rPr>
          <w:b/>
          <w:color w:val="00000A"/>
          <w:spacing w:val="-57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полномочиям</w:t>
      </w:r>
      <w:r>
        <w:rPr>
          <w:b/>
          <w:color w:val="00000A"/>
          <w:spacing w:val="-2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органов</w:t>
      </w:r>
      <w:r>
        <w:rPr>
          <w:b/>
          <w:color w:val="00000A"/>
          <w:spacing w:val="-5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местного</w:t>
      </w:r>
      <w:r>
        <w:rPr>
          <w:b/>
          <w:color w:val="00000A"/>
          <w:spacing w:val="-2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самоуправления</w:t>
      </w:r>
      <w:r>
        <w:rPr>
          <w:b/>
          <w:color w:val="00000A"/>
          <w:spacing w:val="-2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на</w:t>
      </w:r>
      <w:r>
        <w:rPr>
          <w:b/>
          <w:color w:val="00000A"/>
          <w:spacing w:val="-2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2024</w:t>
      </w:r>
      <w:r>
        <w:rPr>
          <w:b/>
          <w:color w:val="00000A"/>
          <w:spacing w:val="-2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год</w:t>
      </w:r>
    </w:p>
    <w:p>
      <w:pPr>
        <w:pStyle w:val="Normal"/>
        <w:spacing w:lineRule="exact" w:line="272" w:before="0" w:after="32"/>
        <w:ind w:left="0" w:right="125" w:hanging="0"/>
        <w:jc w:val="right"/>
        <w:rPr>
          <w:rFonts w:ascii="Times New Roman" w:hAnsi="Times New Roman"/>
          <w:sz w:val="20"/>
          <w:szCs w:val="20"/>
        </w:rPr>
      </w:pPr>
      <w:r>
        <w:rPr>
          <w:color w:val="00000A"/>
          <w:sz w:val="20"/>
          <w:szCs w:val="20"/>
        </w:rPr>
        <w:t>(тыс.</w:t>
      </w:r>
      <w:r>
        <w:rPr>
          <w:color w:val="00000A"/>
          <w:spacing w:val="-7"/>
          <w:sz w:val="20"/>
          <w:szCs w:val="20"/>
        </w:rPr>
        <w:t xml:space="preserve"> </w:t>
      </w:r>
      <w:r>
        <w:rPr>
          <w:color w:val="00000A"/>
          <w:sz w:val="20"/>
          <w:szCs w:val="20"/>
        </w:rPr>
        <w:t>рублей)</w:t>
      </w:r>
    </w:p>
    <w:tbl>
      <w:tblPr>
        <w:tblW w:w="9420" w:type="dxa"/>
        <w:jc w:val="left"/>
        <w:tblInd w:w="2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56"/>
        <w:gridCol w:w="7572"/>
        <w:gridCol w:w="1092"/>
      </w:tblGrid>
      <w:tr>
        <w:trPr>
          <w:trHeight w:val="13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2024 год</w:t>
            </w:r>
          </w:p>
        </w:tc>
      </w:tr>
      <w:tr>
        <w:trPr>
          <w:trHeight w:val="13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1020,9</w:t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1020,9</w:t>
            </w:r>
          </w:p>
        </w:tc>
      </w:tr>
      <w:tr>
        <w:trPr>
          <w:trHeight w:val="980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5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1.3.1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архивов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1.3.2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образования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32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служащие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6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работники ОМСУ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2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Численность, в т.ч.: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2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2.3.1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архивов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2.3.2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образования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2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1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35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служащие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68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работники ОМСУ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6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14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77" w:hRule="atLeast"/>
        </w:trPr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421,3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ru-RU" w:eastAsia="en-US" w:bidi="ar-SA"/>
    </w:rPr>
  </w:style>
  <w:style w:type="paragraph" w:styleId="1">
    <w:name w:val="Heading 1"/>
    <w:basedOn w:val="Normal"/>
    <w:qFormat/>
    <w:pPr>
      <w:ind w:left="245" w:right="258" w:hanging="0"/>
      <w:jc w:val="center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ListLabel1">
    <w:name w:val="ListLabel 1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2">
    <w:name w:val="ListLabel 2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3">
    <w:name w:val="ListLabel 3"/>
    <w:qFormat/>
    <w:rPr>
      <w:lang w:val="ru-RU" w:eastAsia="en-US" w:bidi="ar-SA"/>
    </w:rPr>
  </w:style>
  <w:style w:type="character" w:styleId="ListLabel4">
    <w:name w:val="ListLabel 4"/>
    <w:qFormat/>
    <w:rPr>
      <w:lang w:val="ru-RU" w:eastAsia="en-US" w:bidi="ar-SA"/>
    </w:rPr>
  </w:style>
  <w:style w:type="character" w:styleId="ListLabel5">
    <w:name w:val="ListLabel 5"/>
    <w:qFormat/>
    <w:rPr>
      <w:lang w:val="ru-RU" w:eastAsia="en-US" w:bidi="ar-SA"/>
    </w:rPr>
  </w:style>
  <w:style w:type="character" w:styleId="ListLabel6">
    <w:name w:val="ListLabel 6"/>
    <w:qFormat/>
    <w:rPr>
      <w:lang w:val="ru-RU" w:eastAsia="en-US" w:bidi="ar-SA"/>
    </w:rPr>
  </w:style>
  <w:style w:type="character" w:styleId="ListLabel7">
    <w:name w:val="ListLabel 7"/>
    <w:qFormat/>
    <w:rPr>
      <w:lang w:val="ru-RU" w:eastAsia="en-US" w:bidi="ar-SA"/>
    </w:rPr>
  </w:style>
  <w:style w:type="character" w:styleId="ListLabel8">
    <w:name w:val="ListLabel 8"/>
    <w:qFormat/>
    <w:rPr>
      <w:lang w:val="ru-RU" w:eastAsia="en-US" w:bidi="ar-SA"/>
    </w:rPr>
  </w:style>
  <w:style w:type="character" w:styleId="ListLabel9">
    <w:name w:val="ListLabel 9"/>
    <w:qFormat/>
    <w:rPr>
      <w:lang w:val="ru-RU" w:eastAsia="en-US" w:bidi="ar-SA"/>
    </w:rPr>
  </w:style>
  <w:style w:type="character" w:styleId="ListLabel10">
    <w:name w:val="ListLabel 10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1">
    <w:name w:val="ListLabel 11"/>
    <w:qFormat/>
    <w:rPr>
      <w:lang w:val="ru-RU" w:eastAsia="en-US" w:bidi="ar-SA"/>
    </w:rPr>
  </w:style>
  <w:style w:type="character" w:styleId="ListLabel12">
    <w:name w:val="ListLabel 12"/>
    <w:qFormat/>
    <w:rPr>
      <w:lang w:val="ru-RU" w:eastAsia="en-US" w:bidi="ar-SA"/>
    </w:rPr>
  </w:style>
  <w:style w:type="character" w:styleId="ListLabel13">
    <w:name w:val="ListLabel 13"/>
    <w:qFormat/>
    <w:rPr>
      <w:lang w:val="ru-RU" w:eastAsia="en-US" w:bidi="ar-SA"/>
    </w:rPr>
  </w:style>
  <w:style w:type="character" w:styleId="ListLabel14">
    <w:name w:val="ListLabel 14"/>
    <w:qFormat/>
    <w:rPr>
      <w:lang w:val="ru-RU" w:eastAsia="en-US" w:bidi="ar-SA"/>
    </w:rPr>
  </w:style>
  <w:style w:type="character" w:styleId="ListLabel15">
    <w:name w:val="ListLabel 15"/>
    <w:qFormat/>
    <w:rPr>
      <w:lang w:val="ru-RU" w:eastAsia="en-US" w:bidi="ar-SA"/>
    </w:rPr>
  </w:style>
  <w:style w:type="character" w:styleId="ListLabel16">
    <w:name w:val="ListLabel 16"/>
    <w:qFormat/>
    <w:rPr>
      <w:lang w:val="ru-RU" w:eastAsia="en-US" w:bidi="ar-SA"/>
    </w:rPr>
  </w:style>
  <w:style w:type="character" w:styleId="ListLabel17">
    <w:name w:val="ListLabel 17"/>
    <w:qFormat/>
    <w:rPr>
      <w:lang w:val="ru-RU" w:eastAsia="en-US" w:bidi="ar-SA"/>
    </w:rPr>
  </w:style>
  <w:style w:type="character" w:styleId="ListLabel18">
    <w:name w:val="ListLabel 18"/>
    <w:qFormat/>
    <w:rPr>
      <w:lang w:val="ru-RU" w:eastAsia="en-US" w:bidi="ar-SA"/>
    </w:rPr>
  </w:style>
  <w:style w:type="character" w:styleId="ListLabel19">
    <w:name w:val="ListLabel 19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20">
    <w:name w:val="ListLabel 20"/>
    <w:qFormat/>
    <w:rPr>
      <w:lang w:val="ru-RU" w:eastAsia="en-US" w:bidi="ar-SA"/>
    </w:rPr>
  </w:style>
  <w:style w:type="character" w:styleId="ListLabel21">
    <w:name w:val="ListLabel 21"/>
    <w:qFormat/>
    <w:rPr>
      <w:lang w:val="ru-RU" w:eastAsia="en-US" w:bidi="ar-SA"/>
    </w:rPr>
  </w:style>
  <w:style w:type="character" w:styleId="ListLabel22">
    <w:name w:val="ListLabel 22"/>
    <w:qFormat/>
    <w:rPr>
      <w:lang w:val="ru-RU" w:eastAsia="en-US" w:bidi="ar-SA"/>
    </w:rPr>
  </w:style>
  <w:style w:type="character" w:styleId="ListLabel23">
    <w:name w:val="ListLabel 23"/>
    <w:qFormat/>
    <w:rPr>
      <w:lang w:val="ru-RU" w:eastAsia="en-US" w:bidi="ar-SA"/>
    </w:rPr>
  </w:style>
  <w:style w:type="character" w:styleId="ListLabel24">
    <w:name w:val="ListLabel 24"/>
    <w:qFormat/>
    <w:rPr>
      <w:lang w:val="ru-RU" w:eastAsia="en-US" w:bidi="ar-SA"/>
    </w:rPr>
  </w:style>
  <w:style w:type="character" w:styleId="ListLabel25">
    <w:name w:val="ListLabel 25"/>
    <w:qFormat/>
    <w:rPr>
      <w:lang w:val="ru-RU" w:eastAsia="en-US" w:bidi="ar-SA"/>
    </w:rPr>
  </w:style>
  <w:style w:type="character" w:styleId="ListLabel26">
    <w:name w:val="ListLabel 26"/>
    <w:qFormat/>
    <w:rPr>
      <w:lang w:val="ru-RU" w:eastAsia="en-US" w:bidi="ar-SA"/>
    </w:rPr>
  </w:style>
  <w:style w:type="character" w:styleId="ListLabel27">
    <w:name w:val="ListLabel 27"/>
    <w:qFormat/>
    <w:rPr>
      <w:lang w:val="ru-RU" w:eastAsia="en-US" w:bidi="ar-SA"/>
    </w:rPr>
  </w:style>
  <w:style w:type="character" w:styleId="ListLabel28">
    <w:name w:val="ListLabel 28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29">
    <w:name w:val="ListLabel 29"/>
    <w:qFormat/>
    <w:rPr>
      <w:lang w:val="ru-RU" w:eastAsia="en-US" w:bidi="ar-SA"/>
    </w:rPr>
  </w:style>
  <w:style w:type="character" w:styleId="ListLabel30">
    <w:name w:val="ListLabel 30"/>
    <w:qFormat/>
    <w:rPr>
      <w:lang w:val="ru-RU" w:eastAsia="en-US" w:bidi="ar-SA"/>
    </w:rPr>
  </w:style>
  <w:style w:type="character" w:styleId="ListLabel31">
    <w:name w:val="ListLabel 31"/>
    <w:qFormat/>
    <w:rPr>
      <w:lang w:val="ru-RU" w:eastAsia="en-US" w:bidi="ar-SA"/>
    </w:rPr>
  </w:style>
  <w:style w:type="character" w:styleId="ListLabel32">
    <w:name w:val="ListLabel 32"/>
    <w:qFormat/>
    <w:rPr>
      <w:lang w:val="ru-RU" w:eastAsia="en-US" w:bidi="ar-SA"/>
    </w:rPr>
  </w:style>
  <w:style w:type="character" w:styleId="ListLabel33">
    <w:name w:val="ListLabel 33"/>
    <w:qFormat/>
    <w:rPr>
      <w:lang w:val="ru-RU" w:eastAsia="en-US" w:bidi="ar-SA"/>
    </w:rPr>
  </w:style>
  <w:style w:type="character" w:styleId="ListLabel34">
    <w:name w:val="ListLabel 34"/>
    <w:qFormat/>
    <w:rPr>
      <w:lang w:val="ru-RU" w:eastAsia="en-US" w:bidi="ar-SA"/>
    </w:rPr>
  </w:style>
  <w:style w:type="character" w:styleId="ListLabel35">
    <w:name w:val="ListLabel 35"/>
    <w:qFormat/>
    <w:rPr>
      <w:lang w:val="ru-RU" w:eastAsia="en-US" w:bidi="ar-SA"/>
    </w:rPr>
  </w:style>
  <w:style w:type="character" w:styleId="ListLabel36">
    <w:name w:val="ListLabel 36"/>
    <w:qFormat/>
    <w:rPr>
      <w:lang w:val="ru-RU" w:eastAsia="en-US" w:bidi="ar-SA"/>
    </w:rPr>
  </w:style>
  <w:style w:type="character" w:styleId="ListLabel37">
    <w:name w:val="ListLabel 37"/>
    <w:qFormat/>
    <w:rPr>
      <w:rFonts w:eastAsia="Times New Roman" w:cs="Times New Roman"/>
      <w:w w:val="99"/>
      <w:sz w:val="26"/>
      <w:szCs w:val="26"/>
      <w:lang w:val="ru-RU" w:eastAsia="en-US" w:bidi="ar-SA"/>
    </w:rPr>
  </w:style>
  <w:style w:type="character" w:styleId="ListLabel38">
    <w:name w:val="ListLabel 38"/>
    <w:qFormat/>
    <w:rPr>
      <w:lang w:val="ru-RU" w:eastAsia="en-US" w:bidi="ar-SA"/>
    </w:rPr>
  </w:style>
  <w:style w:type="character" w:styleId="ListLabel39">
    <w:name w:val="ListLabel 39"/>
    <w:qFormat/>
    <w:rPr>
      <w:lang w:val="ru-RU" w:eastAsia="en-US" w:bidi="ar-SA"/>
    </w:rPr>
  </w:style>
  <w:style w:type="character" w:styleId="ListLabel40">
    <w:name w:val="ListLabel 40"/>
    <w:qFormat/>
    <w:rPr>
      <w:lang w:val="ru-RU" w:eastAsia="en-US" w:bidi="ar-SA"/>
    </w:rPr>
  </w:style>
  <w:style w:type="character" w:styleId="ListLabel41">
    <w:name w:val="ListLabel 41"/>
    <w:qFormat/>
    <w:rPr>
      <w:lang w:val="ru-RU" w:eastAsia="en-US" w:bidi="ar-SA"/>
    </w:rPr>
  </w:style>
  <w:style w:type="character" w:styleId="ListLabel42">
    <w:name w:val="ListLabel 42"/>
    <w:qFormat/>
    <w:rPr>
      <w:lang w:val="ru-RU" w:eastAsia="en-US" w:bidi="ar-SA"/>
    </w:rPr>
  </w:style>
  <w:style w:type="character" w:styleId="ListLabel43">
    <w:name w:val="ListLabel 43"/>
    <w:qFormat/>
    <w:rPr>
      <w:lang w:val="ru-RU" w:eastAsia="en-US" w:bidi="ar-SA"/>
    </w:rPr>
  </w:style>
  <w:style w:type="character" w:styleId="ListLabel44">
    <w:name w:val="ListLabel 44"/>
    <w:qFormat/>
    <w:rPr>
      <w:lang w:val="ru-RU" w:eastAsia="en-US" w:bidi="ar-SA"/>
    </w:rPr>
  </w:style>
  <w:style w:type="character" w:styleId="ListLabel45">
    <w:name w:val="ListLabel 45"/>
    <w:qFormat/>
    <w:rPr>
      <w:lang w:val="ru-RU" w:eastAsia="en-US" w:bidi="ar-SA"/>
    </w:rPr>
  </w:style>
  <w:style w:type="character" w:styleId="ListLabel46">
    <w:name w:val="ListLabel 46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47">
    <w:name w:val="ListLabel 47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48">
    <w:name w:val="ListLabel 48"/>
    <w:qFormat/>
    <w:rPr>
      <w:rFonts w:cs="Symbol"/>
      <w:lang w:val="ru-RU" w:eastAsia="en-US" w:bidi="ar-SA"/>
    </w:rPr>
  </w:style>
  <w:style w:type="character" w:styleId="ListLabel49">
    <w:name w:val="ListLabel 49"/>
    <w:qFormat/>
    <w:rPr>
      <w:rFonts w:cs="Symbol"/>
      <w:lang w:val="ru-RU" w:eastAsia="en-US" w:bidi="ar-SA"/>
    </w:rPr>
  </w:style>
  <w:style w:type="character" w:styleId="ListLabel50">
    <w:name w:val="ListLabel 50"/>
    <w:qFormat/>
    <w:rPr>
      <w:rFonts w:cs="Symbol"/>
      <w:lang w:val="ru-RU" w:eastAsia="en-US" w:bidi="ar-SA"/>
    </w:rPr>
  </w:style>
  <w:style w:type="character" w:styleId="ListLabel51">
    <w:name w:val="ListLabel 51"/>
    <w:qFormat/>
    <w:rPr>
      <w:rFonts w:cs="Symbol"/>
      <w:lang w:val="ru-RU" w:eastAsia="en-US" w:bidi="ar-SA"/>
    </w:rPr>
  </w:style>
  <w:style w:type="character" w:styleId="ListLabel52">
    <w:name w:val="ListLabel 52"/>
    <w:qFormat/>
    <w:rPr>
      <w:rFonts w:cs="Symbol"/>
      <w:lang w:val="ru-RU" w:eastAsia="en-US" w:bidi="ar-SA"/>
    </w:rPr>
  </w:style>
  <w:style w:type="character" w:styleId="ListLabel53">
    <w:name w:val="ListLabel 53"/>
    <w:qFormat/>
    <w:rPr>
      <w:rFonts w:cs="Symbol"/>
      <w:lang w:val="ru-RU" w:eastAsia="en-US" w:bidi="ar-SA"/>
    </w:rPr>
  </w:style>
  <w:style w:type="character" w:styleId="ListLabel54">
    <w:name w:val="ListLabel 54"/>
    <w:qFormat/>
    <w:rPr>
      <w:rFonts w:cs="Symbol"/>
      <w:lang w:val="ru-RU" w:eastAsia="en-US" w:bidi="ar-SA"/>
    </w:rPr>
  </w:style>
  <w:style w:type="character" w:styleId="ListLabel55">
    <w:name w:val="ListLabel 55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56">
    <w:name w:val="ListLabel 56"/>
    <w:qFormat/>
    <w:rPr>
      <w:rFonts w:cs="Symbol"/>
      <w:lang w:val="ru-RU" w:eastAsia="en-US" w:bidi="ar-SA"/>
    </w:rPr>
  </w:style>
  <w:style w:type="character" w:styleId="ListLabel57">
    <w:name w:val="ListLabel 57"/>
    <w:qFormat/>
    <w:rPr>
      <w:rFonts w:cs="Symbol"/>
      <w:lang w:val="ru-RU" w:eastAsia="en-US" w:bidi="ar-SA"/>
    </w:rPr>
  </w:style>
  <w:style w:type="character" w:styleId="ListLabel58">
    <w:name w:val="ListLabel 58"/>
    <w:qFormat/>
    <w:rPr>
      <w:rFonts w:cs="Symbol"/>
      <w:lang w:val="ru-RU" w:eastAsia="en-US" w:bidi="ar-SA"/>
    </w:rPr>
  </w:style>
  <w:style w:type="character" w:styleId="ListLabel59">
    <w:name w:val="ListLabel 59"/>
    <w:qFormat/>
    <w:rPr>
      <w:rFonts w:cs="Symbol"/>
      <w:lang w:val="ru-RU" w:eastAsia="en-US" w:bidi="ar-SA"/>
    </w:rPr>
  </w:style>
  <w:style w:type="character" w:styleId="ListLabel60">
    <w:name w:val="ListLabel 60"/>
    <w:qFormat/>
    <w:rPr>
      <w:rFonts w:cs="Symbol"/>
      <w:lang w:val="ru-RU" w:eastAsia="en-US" w:bidi="ar-SA"/>
    </w:rPr>
  </w:style>
  <w:style w:type="character" w:styleId="ListLabel61">
    <w:name w:val="ListLabel 61"/>
    <w:qFormat/>
    <w:rPr>
      <w:rFonts w:cs="Symbol"/>
      <w:lang w:val="ru-RU" w:eastAsia="en-US" w:bidi="ar-SA"/>
    </w:rPr>
  </w:style>
  <w:style w:type="character" w:styleId="ListLabel62">
    <w:name w:val="ListLabel 62"/>
    <w:qFormat/>
    <w:rPr>
      <w:rFonts w:cs="Symbol"/>
      <w:lang w:val="ru-RU" w:eastAsia="en-US" w:bidi="ar-SA"/>
    </w:rPr>
  </w:style>
  <w:style w:type="character" w:styleId="ListLabel63">
    <w:name w:val="ListLabel 63"/>
    <w:qFormat/>
    <w:rPr>
      <w:rFonts w:cs="Symbol"/>
      <w:lang w:val="ru-RU" w:eastAsia="en-US" w:bidi="ar-SA"/>
    </w:rPr>
  </w:style>
  <w:style w:type="character" w:styleId="ListLabel64">
    <w:name w:val="ListLabel 64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65">
    <w:name w:val="ListLabel 65"/>
    <w:qFormat/>
    <w:rPr>
      <w:rFonts w:cs="Symbol"/>
      <w:lang w:val="ru-RU" w:eastAsia="en-US" w:bidi="ar-SA"/>
    </w:rPr>
  </w:style>
  <w:style w:type="character" w:styleId="ListLabel66">
    <w:name w:val="ListLabel 66"/>
    <w:qFormat/>
    <w:rPr>
      <w:rFonts w:cs="Symbol"/>
      <w:lang w:val="ru-RU" w:eastAsia="en-US" w:bidi="ar-SA"/>
    </w:rPr>
  </w:style>
  <w:style w:type="character" w:styleId="ListLabel67">
    <w:name w:val="ListLabel 67"/>
    <w:qFormat/>
    <w:rPr>
      <w:rFonts w:cs="Symbol"/>
      <w:lang w:val="ru-RU" w:eastAsia="en-US" w:bidi="ar-SA"/>
    </w:rPr>
  </w:style>
  <w:style w:type="character" w:styleId="ListLabel68">
    <w:name w:val="ListLabel 68"/>
    <w:qFormat/>
    <w:rPr>
      <w:rFonts w:cs="Symbol"/>
      <w:lang w:val="ru-RU" w:eastAsia="en-US" w:bidi="ar-SA"/>
    </w:rPr>
  </w:style>
  <w:style w:type="character" w:styleId="ListLabel69">
    <w:name w:val="ListLabel 69"/>
    <w:qFormat/>
    <w:rPr>
      <w:rFonts w:cs="Symbol"/>
      <w:lang w:val="ru-RU" w:eastAsia="en-US" w:bidi="ar-SA"/>
    </w:rPr>
  </w:style>
  <w:style w:type="character" w:styleId="ListLabel70">
    <w:name w:val="ListLabel 70"/>
    <w:qFormat/>
    <w:rPr>
      <w:rFonts w:cs="Symbol"/>
      <w:lang w:val="ru-RU" w:eastAsia="en-US" w:bidi="ar-SA"/>
    </w:rPr>
  </w:style>
  <w:style w:type="character" w:styleId="ListLabel71">
    <w:name w:val="ListLabel 71"/>
    <w:qFormat/>
    <w:rPr>
      <w:rFonts w:cs="Symbol"/>
      <w:lang w:val="ru-RU" w:eastAsia="en-US" w:bidi="ar-SA"/>
    </w:rPr>
  </w:style>
  <w:style w:type="character" w:styleId="ListLabel72">
    <w:name w:val="ListLabel 72"/>
    <w:qFormat/>
    <w:rPr>
      <w:rFonts w:cs="Symbol"/>
      <w:lang w:val="ru-RU" w:eastAsia="en-US" w:bidi="ar-SA"/>
    </w:rPr>
  </w:style>
  <w:style w:type="character" w:styleId="ListLabel73">
    <w:name w:val="ListLabel 73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74">
    <w:name w:val="ListLabel 74"/>
    <w:qFormat/>
    <w:rPr>
      <w:rFonts w:cs="Symbol"/>
      <w:lang w:val="ru-RU" w:eastAsia="en-US" w:bidi="ar-SA"/>
    </w:rPr>
  </w:style>
  <w:style w:type="character" w:styleId="ListLabel75">
    <w:name w:val="ListLabel 75"/>
    <w:qFormat/>
    <w:rPr>
      <w:rFonts w:cs="Symbol"/>
      <w:lang w:val="ru-RU" w:eastAsia="en-US" w:bidi="ar-SA"/>
    </w:rPr>
  </w:style>
  <w:style w:type="character" w:styleId="ListLabel76">
    <w:name w:val="ListLabel 76"/>
    <w:qFormat/>
    <w:rPr>
      <w:rFonts w:cs="Symbol"/>
      <w:lang w:val="ru-RU" w:eastAsia="en-US" w:bidi="ar-SA"/>
    </w:rPr>
  </w:style>
  <w:style w:type="character" w:styleId="ListLabel77">
    <w:name w:val="ListLabel 77"/>
    <w:qFormat/>
    <w:rPr>
      <w:rFonts w:cs="Symbol"/>
      <w:lang w:val="ru-RU" w:eastAsia="en-US" w:bidi="ar-SA"/>
    </w:rPr>
  </w:style>
  <w:style w:type="character" w:styleId="ListLabel78">
    <w:name w:val="ListLabel 78"/>
    <w:qFormat/>
    <w:rPr>
      <w:rFonts w:cs="Symbol"/>
      <w:lang w:val="ru-RU" w:eastAsia="en-US" w:bidi="ar-SA"/>
    </w:rPr>
  </w:style>
  <w:style w:type="character" w:styleId="ListLabel79">
    <w:name w:val="ListLabel 79"/>
    <w:qFormat/>
    <w:rPr>
      <w:rFonts w:cs="Symbol"/>
      <w:lang w:val="ru-RU" w:eastAsia="en-US" w:bidi="ar-SA"/>
    </w:rPr>
  </w:style>
  <w:style w:type="character" w:styleId="ListLabel80">
    <w:name w:val="ListLabel 80"/>
    <w:qFormat/>
    <w:rPr>
      <w:rFonts w:cs="Symbol"/>
      <w:lang w:val="ru-RU" w:eastAsia="en-US" w:bidi="ar-SA"/>
    </w:rPr>
  </w:style>
  <w:style w:type="character" w:styleId="ListLabel81">
    <w:name w:val="ListLabel 81"/>
    <w:qFormat/>
    <w:rPr>
      <w:rFonts w:cs="Symbol"/>
      <w:lang w:val="ru-RU" w:eastAsia="en-US" w:bidi="ar-SA"/>
    </w:rPr>
  </w:style>
  <w:style w:type="character" w:styleId="ListLabel82">
    <w:name w:val="ListLabel 82"/>
    <w:qFormat/>
    <w:rPr>
      <w:rFonts w:eastAsia="Times New Roman" w:cs="Times New Roman"/>
      <w:w w:val="99"/>
      <w:sz w:val="26"/>
      <w:szCs w:val="26"/>
      <w:lang w:val="ru-RU" w:eastAsia="en-US" w:bidi="ar-SA"/>
    </w:rPr>
  </w:style>
  <w:style w:type="character" w:styleId="ListLabel83">
    <w:name w:val="ListLabel 83"/>
    <w:qFormat/>
    <w:rPr>
      <w:rFonts w:cs="Symbol"/>
      <w:lang w:val="ru-RU" w:eastAsia="en-US" w:bidi="ar-SA"/>
    </w:rPr>
  </w:style>
  <w:style w:type="character" w:styleId="ListLabel84">
    <w:name w:val="ListLabel 84"/>
    <w:qFormat/>
    <w:rPr>
      <w:rFonts w:cs="Symbol"/>
      <w:lang w:val="ru-RU" w:eastAsia="en-US" w:bidi="ar-SA"/>
    </w:rPr>
  </w:style>
  <w:style w:type="character" w:styleId="ListLabel85">
    <w:name w:val="ListLabel 85"/>
    <w:qFormat/>
    <w:rPr>
      <w:rFonts w:cs="Symbol"/>
      <w:lang w:val="ru-RU" w:eastAsia="en-US" w:bidi="ar-SA"/>
    </w:rPr>
  </w:style>
  <w:style w:type="character" w:styleId="ListLabel86">
    <w:name w:val="ListLabel 86"/>
    <w:qFormat/>
    <w:rPr>
      <w:rFonts w:cs="Symbol"/>
      <w:lang w:val="ru-RU" w:eastAsia="en-US" w:bidi="ar-SA"/>
    </w:rPr>
  </w:style>
  <w:style w:type="character" w:styleId="ListLabel87">
    <w:name w:val="ListLabel 87"/>
    <w:qFormat/>
    <w:rPr>
      <w:rFonts w:cs="Symbol"/>
      <w:lang w:val="ru-RU" w:eastAsia="en-US" w:bidi="ar-SA"/>
    </w:rPr>
  </w:style>
  <w:style w:type="character" w:styleId="ListLabel88">
    <w:name w:val="ListLabel 88"/>
    <w:qFormat/>
    <w:rPr>
      <w:rFonts w:cs="Symbol"/>
      <w:lang w:val="ru-RU" w:eastAsia="en-US" w:bidi="ar-SA"/>
    </w:rPr>
  </w:style>
  <w:style w:type="character" w:styleId="ListLabel89">
    <w:name w:val="ListLabel 89"/>
    <w:qFormat/>
    <w:rPr>
      <w:rFonts w:cs="Symbol"/>
      <w:lang w:val="ru-RU" w:eastAsia="en-US" w:bidi="ar-SA"/>
    </w:rPr>
  </w:style>
  <w:style w:type="character" w:styleId="ListLabel90">
    <w:name w:val="ListLabel 90"/>
    <w:qFormat/>
    <w:rPr>
      <w:rFonts w:cs="Symbol"/>
      <w:lang w:val="ru-RU" w:eastAsia="en-US" w:bidi="ar-SA"/>
    </w:rPr>
  </w:style>
  <w:style w:type="character" w:styleId="ListLabel91">
    <w:name w:val="ListLabel 91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92">
    <w:name w:val="ListLabel 92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93">
    <w:name w:val="ListLabel 93"/>
    <w:qFormat/>
    <w:rPr>
      <w:rFonts w:cs="Symbol"/>
      <w:lang w:val="ru-RU" w:eastAsia="en-US" w:bidi="ar-SA"/>
    </w:rPr>
  </w:style>
  <w:style w:type="character" w:styleId="ListLabel94">
    <w:name w:val="ListLabel 94"/>
    <w:qFormat/>
    <w:rPr>
      <w:rFonts w:cs="Symbol"/>
      <w:lang w:val="ru-RU" w:eastAsia="en-US" w:bidi="ar-SA"/>
    </w:rPr>
  </w:style>
  <w:style w:type="character" w:styleId="ListLabel95">
    <w:name w:val="ListLabel 95"/>
    <w:qFormat/>
    <w:rPr>
      <w:rFonts w:cs="Symbol"/>
      <w:lang w:val="ru-RU" w:eastAsia="en-US" w:bidi="ar-SA"/>
    </w:rPr>
  </w:style>
  <w:style w:type="character" w:styleId="ListLabel96">
    <w:name w:val="ListLabel 96"/>
    <w:qFormat/>
    <w:rPr>
      <w:rFonts w:cs="Symbol"/>
      <w:lang w:val="ru-RU" w:eastAsia="en-US" w:bidi="ar-SA"/>
    </w:rPr>
  </w:style>
  <w:style w:type="character" w:styleId="ListLabel97">
    <w:name w:val="ListLabel 97"/>
    <w:qFormat/>
    <w:rPr>
      <w:rFonts w:cs="Symbol"/>
      <w:lang w:val="ru-RU" w:eastAsia="en-US" w:bidi="ar-SA"/>
    </w:rPr>
  </w:style>
  <w:style w:type="character" w:styleId="ListLabel98">
    <w:name w:val="ListLabel 98"/>
    <w:qFormat/>
    <w:rPr>
      <w:rFonts w:cs="Symbol"/>
      <w:lang w:val="ru-RU" w:eastAsia="en-US" w:bidi="ar-SA"/>
    </w:rPr>
  </w:style>
  <w:style w:type="character" w:styleId="ListLabel99">
    <w:name w:val="ListLabel 99"/>
    <w:qFormat/>
    <w:rPr>
      <w:rFonts w:cs="Symbol"/>
      <w:lang w:val="ru-RU" w:eastAsia="en-US" w:bidi="ar-SA"/>
    </w:rPr>
  </w:style>
  <w:style w:type="character" w:styleId="ListLabel100">
    <w:name w:val="ListLabel 100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01">
    <w:name w:val="ListLabel 101"/>
    <w:qFormat/>
    <w:rPr>
      <w:rFonts w:cs="Symbol"/>
      <w:lang w:val="ru-RU" w:eastAsia="en-US" w:bidi="ar-SA"/>
    </w:rPr>
  </w:style>
  <w:style w:type="character" w:styleId="ListLabel102">
    <w:name w:val="ListLabel 102"/>
    <w:qFormat/>
    <w:rPr>
      <w:rFonts w:cs="Symbol"/>
      <w:lang w:val="ru-RU" w:eastAsia="en-US" w:bidi="ar-SA"/>
    </w:rPr>
  </w:style>
  <w:style w:type="character" w:styleId="ListLabel103">
    <w:name w:val="ListLabel 103"/>
    <w:qFormat/>
    <w:rPr>
      <w:rFonts w:cs="Symbol"/>
      <w:lang w:val="ru-RU" w:eastAsia="en-US" w:bidi="ar-SA"/>
    </w:rPr>
  </w:style>
  <w:style w:type="character" w:styleId="ListLabel104">
    <w:name w:val="ListLabel 104"/>
    <w:qFormat/>
    <w:rPr>
      <w:rFonts w:cs="Symbol"/>
      <w:lang w:val="ru-RU" w:eastAsia="en-US" w:bidi="ar-SA"/>
    </w:rPr>
  </w:style>
  <w:style w:type="character" w:styleId="ListLabel105">
    <w:name w:val="ListLabel 105"/>
    <w:qFormat/>
    <w:rPr>
      <w:rFonts w:cs="Symbol"/>
      <w:lang w:val="ru-RU" w:eastAsia="en-US" w:bidi="ar-SA"/>
    </w:rPr>
  </w:style>
  <w:style w:type="character" w:styleId="ListLabel106">
    <w:name w:val="ListLabel 106"/>
    <w:qFormat/>
    <w:rPr>
      <w:rFonts w:cs="Symbol"/>
      <w:lang w:val="ru-RU" w:eastAsia="en-US" w:bidi="ar-SA"/>
    </w:rPr>
  </w:style>
  <w:style w:type="character" w:styleId="ListLabel107">
    <w:name w:val="ListLabel 107"/>
    <w:qFormat/>
    <w:rPr>
      <w:rFonts w:cs="Symbol"/>
      <w:lang w:val="ru-RU" w:eastAsia="en-US" w:bidi="ar-SA"/>
    </w:rPr>
  </w:style>
  <w:style w:type="character" w:styleId="ListLabel108">
    <w:name w:val="ListLabel 108"/>
    <w:qFormat/>
    <w:rPr>
      <w:rFonts w:cs="Symbol"/>
      <w:lang w:val="ru-RU" w:eastAsia="en-US" w:bidi="ar-SA"/>
    </w:rPr>
  </w:style>
  <w:style w:type="character" w:styleId="ListLabel109">
    <w:name w:val="ListLabel 109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10">
    <w:name w:val="ListLabel 110"/>
    <w:qFormat/>
    <w:rPr>
      <w:rFonts w:cs="Symbol"/>
      <w:lang w:val="ru-RU" w:eastAsia="en-US" w:bidi="ar-SA"/>
    </w:rPr>
  </w:style>
  <w:style w:type="character" w:styleId="ListLabel111">
    <w:name w:val="ListLabel 111"/>
    <w:qFormat/>
    <w:rPr>
      <w:rFonts w:cs="Symbol"/>
      <w:lang w:val="ru-RU" w:eastAsia="en-US" w:bidi="ar-SA"/>
    </w:rPr>
  </w:style>
  <w:style w:type="character" w:styleId="ListLabel112">
    <w:name w:val="ListLabel 112"/>
    <w:qFormat/>
    <w:rPr>
      <w:rFonts w:cs="Symbol"/>
      <w:lang w:val="ru-RU" w:eastAsia="en-US" w:bidi="ar-SA"/>
    </w:rPr>
  </w:style>
  <w:style w:type="character" w:styleId="ListLabel113">
    <w:name w:val="ListLabel 113"/>
    <w:qFormat/>
    <w:rPr>
      <w:rFonts w:cs="Symbol"/>
      <w:lang w:val="ru-RU" w:eastAsia="en-US" w:bidi="ar-SA"/>
    </w:rPr>
  </w:style>
  <w:style w:type="character" w:styleId="ListLabel114">
    <w:name w:val="ListLabel 114"/>
    <w:qFormat/>
    <w:rPr>
      <w:rFonts w:cs="Symbol"/>
      <w:lang w:val="ru-RU" w:eastAsia="en-US" w:bidi="ar-SA"/>
    </w:rPr>
  </w:style>
  <w:style w:type="character" w:styleId="ListLabel115">
    <w:name w:val="ListLabel 115"/>
    <w:qFormat/>
    <w:rPr>
      <w:rFonts w:cs="Symbol"/>
      <w:lang w:val="ru-RU" w:eastAsia="en-US" w:bidi="ar-SA"/>
    </w:rPr>
  </w:style>
  <w:style w:type="character" w:styleId="ListLabel116">
    <w:name w:val="ListLabel 116"/>
    <w:qFormat/>
    <w:rPr>
      <w:rFonts w:cs="Symbol"/>
      <w:lang w:val="ru-RU" w:eastAsia="en-US" w:bidi="ar-SA"/>
    </w:rPr>
  </w:style>
  <w:style w:type="character" w:styleId="ListLabel117">
    <w:name w:val="ListLabel 117"/>
    <w:qFormat/>
    <w:rPr>
      <w:rFonts w:cs="Symbol"/>
      <w:lang w:val="ru-RU" w:eastAsia="en-US" w:bidi="ar-SA"/>
    </w:rPr>
  </w:style>
  <w:style w:type="character" w:styleId="ListLabel118">
    <w:name w:val="ListLabel 118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19">
    <w:name w:val="ListLabel 119"/>
    <w:qFormat/>
    <w:rPr>
      <w:rFonts w:cs="Symbol"/>
      <w:lang w:val="ru-RU" w:eastAsia="en-US" w:bidi="ar-SA"/>
    </w:rPr>
  </w:style>
  <w:style w:type="character" w:styleId="ListLabel120">
    <w:name w:val="ListLabel 120"/>
    <w:qFormat/>
    <w:rPr>
      <w:rFonts w:cs="Symbol"/>
      <w:lang w:val="ru-RU" w:eastAsia="en-US" w:bidi="ar-SA"/>
    </w:rPr>
  </w:style>
  <w:style w:type="character" w:styleId="ListLabel121">
    <w:name w:val="ListLabel 121"/>
    <w:qFormat/>
    <w:rPr>
      <w:rFonts w:cs="Symbol"/>
      <w:lang w:val="ru-RU" w:eastAsia="en-US" w:bidi="ar-SA"/>
    </w:rPr>
  </w:style>
  <w:style w:type="character" w:styleId="ListLabel122">
    <w:name w:val="ListLabel 122"/>
    <w:qFormat/>
    <w:rPr>
      <w:rFonts w:cs="Symbol"/>
      <w:lang w:val="ru-RU" w:eastAsia="en-US" w:bidi="ar-SA"/>
    </w:rPr>
  </w:style>
  <w:style w:type="character" w:styleId="ListLabel123">
    <w:name w:val="ListLabel 123"/>
    <w:qFormat/>
    <w:rPr>
      <w:rFonts w:cs="Symbol"/>
      <w:lang w:val="ru-RU" w:eastAsia="en-US" w:bidi="ar-SA"/>
    </w:rPr>
  </w:style>
  <w:style w:type="character" w:styleId="ListLabel124">
    <w:name w:val="ListLabel 124"/>
    <w:qFormat/>
    <w:rPr>
      <w:rFonts w:cs="Symbol"/>
      <w:lang w:val="ru-RU" w:eastAsia="en-US" w:bidi="ar-SA"/>
    </w:rPr>
  </w:style>
  <w:style w:type="character" w:styleId="ListLabel125">
    <w:name w:val="ListLabel 125"/>
    <w:qFormat/>
    <w:rPr>
      <w:rFonts w:cs="Symbol"/>
      <w:lang w:val="ru-RU" w:eastAsia="en-US" w:bidi="ar-SA"/>
    </w:rPr>
  </w:style>
  <w:style w:type="character" w:styleId="ListLabel126">
    <w:name w:val="ListLabel 126"/>
    <w:qFormat/>
    <w:rPr>
      <w:rFonts w:cs="Symbol"/>
      <w:lang w:val="ru-RU" w:eastAsia="en-US" w:bidi="ar-SA"/>
    </w:rPr>
  </w:style>
  <w:style w:type="character" w:styleId="ListLabel127">
    <w:name w:val="ListLabel 127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28">
    <w:name w:val="ListLabel 128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129">
    <w:name w:val="ListLabel 129"/>
    <w:qFormat/>
    <w:rPr>
      <w:rFonts w:cs="Symbol"/>
      <w:lang w:val="ru-RU" w:eastAsia="en-US" w:bidi="ar-SA"/>
    </w:rPr>
  </w:style>
  <w:style w:type="character" w:styleId="ListLabel130">
    <w:name w:val="ListLabel 130"/>
    <w:qFormat/>
    <w:rPr>
      <w:rFonts w:cs="Symbol"/>
      <w:lang w:val="ru-RU" w:eastAsia="en-US" w:bidi="ar-SA"/>
    </w:rPr>
  </w:style>
  <w:style w:type="character" w:styleId="ListLabel131">
    <w:name w:val="ListLabel 131"/>
    <w:qFormat/>
    <w:rPr>
      <w:rFonts w:cs="Symbol"/>
      <w:lang w:val="ru-RU" w:eastAsia="en-US" w:bidi="ar-SA"/>
    </w:rPr>
  </w:style>
  <w:style w:type="character" w:styleId="ListLabel132">
    <w:name w:val="ListLabel 132"/>
    <w:qFormat/>
    <w:rPr>
      <w:rFonts w:cs="Symbol"/>
      <w:lang w:val="ru-RU" w:eastAsia="en-US" w:bidi="ar-SA"/>
    </w:rPr>
  </w:style>
  <w:style w:type="character" w:styleId="ListLabel133">
    <w:name w:val="ListLabel 133"/>
    <w:qFormat/>
    <w:rPr>
      <w:rFonts w:cs="Symbol"/>
      <w:lang w:val="ru-RU" w:eastAsia="en-US" w:bidi="ar-SA"/>
    </w:rPr>
  </w:style>
  <w:style w:type="character" w:styleId="ListLabel134">
    <w:name w:val="ListLabel 134"/>
    <w:qFormat/>
    <w:rPr>
      <w:rFonts w:cs="Symbol"/>
      <w:lang w:val="ru-RU" w:eastAsia="en-US" w:bidi="ar-SA"/>
    </w:rPr>
  </w:style>
  <w:style w:type="character" w:styleId="ListLabel135">
    <w:name w:val="ListLabel 135"/>
    <w:qFormat/>
    <w:rPr>
      <w:rFonts w:cs="Symbol"/>
      <w:lang w:val="ru-RU" w:eastAsia="en-US" w:bidi="ar-SA"/>
    </w:rPr>
  </w:style>
  <w:style w:type="character" w:styleId="ListLabel136">
    <w:name w:val="ListLabel 136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37">
    <w:name w:val="ListLabel 137"/>
    <w:qFormat/>
    <w:rPr>
      <w:rFonts w:cs="Symbol"/>
      <w:lang w:val="ru-RU" w:eastAsia="en-US" w:bidi="ar-SA"/>
    </w:rPr>
  </w:style>
  <w:style w:type="character" w:styleId="ListLabel138">
    <w:name w:val="ListLabel 138"/>
    <w:qFormat/>
    <w:rPr>
      <w:rFonts w:cs="Symbol"/>
      <w:lang w:val="ru-RU" w:eastAsia="en-US" w:bidi="ar-SA"/>
    </w:rPr>
  </w:style>
  <w:style w:type="character" w:styleId="ListLabel139">
    <w:name w:val="ListLabel 139"/>
    <w:qFormat/>
    <w:rPr>
      <w:rFonts w:cs="Symbol"/>
      <w:lang w:val="ru-RU" w:eastAsia="en-US" w:bidi="ar-SA"/>
    </w:rPr>
  </w:style>
  <w:style w:type="character" w:styleId="ListLabel140">
    <w:name w:val="ListLabel 140"/>
    <w:qFormat/>
    <w:rPr>
      <w:rFonts w:cs="Symbol"/>
      <w:lang w:val="ru-RU" w:eastAsia="en-US" w:bidi="ar-SA"/>
    </w:rPr>
  </w:style>
  <w:style w:type="character" w:styleId="ListLabel141">
    <w:name w:val="ListLabel 141"/>
    <w:qFormat/>
    <w:rPr>
      <w:rFonts w:cs="Symbol"/>
      <w:lang w:val="ru-RU" w:eastAsia="en-US" w:bidi="ar-SA"/>
    </w:rPr>
  </w:style>
  <w:style w:type="character" w:styleId="ListLabel142">
    <w:name w:val="ListLabel 142"/>
    <w:qFormat/>
    <w:rPr>
      <w:rFonts w:cs="Symbol"/>
      <w:lang w:val="ru-RU" w:eastAsia="en-US" w:bidi="ar-SA"/>
    </w:rPr>
  </w:style>
  <w:style w:type="character" w:styleId="ListLabel143">
    <w:name w:val="ListLabel 143"/>
    <w:qFormat/>
    <w:rPr>
      <w:rFonts w:cs="Symbol"/>
      <w:lang w:val="ru-RU" w:eastAsia="en-US" w:bidi="ar-SA"/>
    </w:rPr>
  </w:style>
  <w:style w:type="character" w:styleId="ListLabel144">
    <w:name w:val="ListLabel 144"/>
    <w:qFormat/>
    <w:rPr>
      <w:rFonts w:cs="Symbol"/>
      <w:lang w:val="ru-RU" w:eastAsia="en-US" w:bidi="ar-SA"/>
    </w:rPr>
  </w:style>
  <w:style w:type="character" w:styleId="ListLabel145">
    <w:name w:val="ListLabel 145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46">
    <w:name w:val="ListLabel 146"/>
    <w:qFormat/>
    <w:rPr>
      <w:rFonts w:cs="Symbol"/>
      <w:lang w:val="ru-RU" w:eastAsia="en-US" w:bidi="ar-SA"/>
    </w:rPr>
  </w:style>
  <w:style w:type="character" w:styleId="ListLabel147">
    <w:name w:val="ListLabel 147"/>
    <w:qFormat/>
    <w:rPr>
      <w:rFonts w:cs="Symbol"/>
      <w:lang w:val="ru-RU" w:eastAsia="en-US" w:bidi="ar-SA"/>
    </w:rPr>
  </w:style>
  <w:style w:type="character" w:styleId="ListLabel148">
    <w:name w:val="ListLabel 148"/>
    <w:qFormat/>
    <w:rPr>
      <w:rFonts w:cs="Symbol"/>
      <w:lang w:val="ru-RU" w:eastAsia="en-US" w:bidi="ar-SA"/>
    </w:rPr>
  </w:style>
  <w:style w:type="character" w:styleId="ListLabel149">
    <w:name w:val="ListLabel 149"/>
    <w:qFormat/>
    <w:rPr>
      <w:rFonts w:cs="Symbol"/>
      <w:lang w:val="ru-RU" w:eastAsia="en-US" w:bidi="ar-SA"/>
    </w:rPr>
  </w:style>
  <w:style w:type="character" w:styleId="ListLabel150">
    <w:name w:val="ListLabel 150"/>
    <w:qFormat/>
    <w:rPr>
      <w:rFonts w:cs="Symbol"/>
      <w:lang w:val="ru-RU" w:eastAsia="en-US" w:bidi="ar-SA"/>
    </w:rPr>
  </w:style>
  <w:style w:type="character" w:styleId="ListLabel151">
    <w:name w:val="ListLabel 151"/>
    <w:qFormat/>
    <w:rPr>
      <w:rFonts w:cs="Symbol"/>
      <w:lang w:val="ru-RU" w:eastAsia="en-US" w:bidi="ar-SA"/>
    </w:rPr>
  </w:style>
  <w:style w:type="character" w:styleId="ListLabel152">
    <w:name w:val="ListLabel 152"/>
    <w:qFormat/>
    <w:rPr>
      <w:rFonts w:cs="Symbol"/>
      <w:lang w:val="ru-RU" w:eastAsia="en-US" w:bidi="ar-SA"/>
    </w:rPr>
  </w:style>
  <w:style w:type="character" w:styleId="ListLabel153">
    <w:name w:val="ListLabel 153"/>
    <w:qFormat/>
    <w:rPr>
      <w:rFonts w:cs="Symbol"/>
      <w:lang w:val="ru-RU" w:eastAsia="en-US" w:bidi="ar-SA"/>
    </w:rPr>
  </w:style>
  <w:style w:type="character" w:styleId="ListLabel154">
    <w:name w:val="ListLabel 154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55">
    <w:name w:val="ListLabel 155"/>
    <w:qFormat/>
    <w:rPr>
      <w:rFonts w:cs="Symbol"/>
      <w:lang w:val="ru-RU" w:eastAsia="en-US" w:bidi="ar-SA"/>
    </w:rPr>
  </w:style>
  <w:style w:type="character" w:styleId="ListLabel156">
    <w:name w:val="ListLabel 156"/>
    <w:qFormat/>
    <w:rPr>
      <w:rFonts w:cs="Symbol"/>
      <w:lang w:val="ru-RU" w:eastAsia="en-US" w:bidi="ar-SA"/>
    </w:rPr>
  </w:style>
  <w:style w:type="character" w:styleId="ListLabel157">
    <w:name w:val="ListLabel 157"/>
    <w:qFormat/>
    <w:rPr>
      <w:rFonts w:cs="Symbol"/>
      <w:lang w:val="ru-RU" w:eastAsia="en-US" w:bidi="ar-SA"/>
    </w:rPr>
  </w:style>
  <w:style w:type="character" w:styleId="ListLabel158">
    <w:name w:val="ListLabel 158"/>
    <w:qFormat/>
    <w:rPr>
      <w:rFonts w:cs="Symbol"/>
      <w:lang w:val="ru-RU" w:eastAsia="en-US" w:bidi="ar-SA"/>
    </w:rPr>
  </w:style>
  <w:style w:type="character" w:styleId="ListLabel159">
    <w:name w:val="ListLabel 159"/>
    <w:qFormat/>
    <w:rPr>
      <w:rFonts w:cs="Symbol"/>
      <w:lang w:val="ru-RU" w:eastAsia="en-US" w:bidi="ar-SA"/>
    </w:rPr>
  </w:style>
  <w:style w:type="character" w:styleId="ListLabel160">
    <w:name w:val="ListLabel 160"/>
    <w:qFormat/>
    <w:rPr>
      <w:rFonts w:cs="Symbol"/>
      <w:lang w:val="ru-RU" w:eastAsia="en-US" w:bidi="ar-SA"/>
    </w:rPr>
  </w:style>
  <w:style w:type="character" w:styleId="ListLabel161">
    <w:name w:val="ListLabel 161"/>
    <w:qFormat/>
    <w:rPr>
      <w:rFonts w:cs="Symbol"/>
      <w:lang w:val="ru-RU" w:eastAsia="en-US" w:bidi="ar-SA"/>
    </w:rPr>
  </w:style>
  <w:style w:type="character" w:styleId="ListLabel162">
    <w:name w:val="ListLabel 162"/>
    <w:qFormat/>
    <w:rPr>
      <w:rFonts w:cs="Symbol"/>
      <w:lang w:val="ru-RU" w:eastAsia="en-US" w:bidi="ar-SA"/>
    </w:rPr>
  </w:style>
  <w:style w:type="character" w:styleId="ListLabel163">
    <w:name w:val="ListLabel 163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64">
    <w:name w:val="ListLabel 164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165">
    <w:name w:val="ListLabel 165"/>
    <w:qFormat/>
    <w:rPr>
      <w:rFonts w:cs="Symbol"/>
      <w:lang w:val="ru-RU" w:eastAsia="en-US" w:bidi="ar-SA"/>
    </w:rPr>
  </w:style>
  <w:style w:type="character" w:styleId="ListLabel166">
    <w:name w:val="ListLabel 166"/>
    <w:qFormat/>
    <w:rPr>
      <w:rFonts w:cs="Symbol"/>
      <w:lang w:val="ru-RU" w:eastAsia="en-US" w:bidi="ar-SA"/>
    </w:rPr>
  </w:style>
  <w:style w:type="character" w:styleId="ListLabel167">
    <w:name w:val="ListLabel 167"/>
    <w:qFormat/>
    <w:rPr>
      <w:rFonts w:cs="Symbol"/>
      <w:lang w:val="ru-RU" w:eastAsia="en-US" w:bidi="ar-SA"/>
    </w:rPr>
  </w:style>
  <w:style w:type="character" w:styleId="ListLabel168">
    <w:name w:val="ListLabel 168"/>
    <w:qFormat/>
    <w:rPr>
      <w:rFonts w:cs="Symbol"/>
      <w:lang w:val="ru-RU" w:eastAsia="en-US" w:bidi="ar-SA"/>
    </w:rPr>
  </w:style>
  <w:style w:type="character" w:styleId="ListLabel169">
    <w:name w:val="ListLabel 169"/>
    <w:qFormat/>
    <w:rPr>
      <w:rFonts w:cs="Symbol"/>
      <w:lang w:val="ru-RU" w:eastAsia="en-US" w:bidi="ar-SA"/>
    </w:rPr>
  </w:style>
  <w:style w:type="character" w:styleId="ListLabel170">
    <w:name w:val="ListLabel 170"/>
    <w:qFormat/>
    <w:rPr>
      <w:rFonts w:cs="Symbol"/>
      <w:lang w:val="ru-RU" w:eastAsia="en-US" w:bidi="ar-SA"/>
    </w:rPr>
  </w:style>
  <w:style w:type="character" w:styleId="ListLabel171">
    <w:name w:val="ListLabel 171"/>
    <w:qFormat/>
    <w:rPr>
      <w:rFonts w:cs="Symbol"/>
      <w:lang w:val="ru-RU" w:eastAsia="en-US" w:bidi="ar-SA"/>
    </w:rPr>
  </w:style>
  <w:style w:type="character" w:styleId="ListLabel172">
    <w:name w:val="ListLabel 172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73">
    <w:name w:val="ListLabel 173"/>
    <w:qFormat/>
    <w:rPr>
      <w:rFonts w:cs="Symbol"/>
      <w:lang w:val="ru-RU" w:eastAsia="en-US" w:bidi="ar-SA"/>
    </w:rPr>
  </w:style>
  <w:style w:type="character" w:styleId="ListLabel174">
    <w:name w:val="ListLabel 174"/>
    <w:qFormat/>
    <w:rPr>
      <w:rFonts w:cs="Symbol"/>
      <w:lang w:val="ru-RU" w:eastAsia="en-US" w:bidi="ar-SA"/>
    </w:rPr>
  </w:style>
  <w:style w:type="character" w:styleId="ListLabel175">
    <w:name w:val="ListLabel 175"/>
    <w:qFormat/>
    <w:rPr>
      <w:rFonts w:cs="Symbol"/>
      <w:lang w:val="ru-RU" w:eastAsia="en-US" w:bidi="ar-SA"/>
    </w:rPr>
  </w:style>
  <w:style w:type="character" w:styleId="ListLabel176">
    <w:name w:val="ListLabel 176"/>
    <w:qFormat/>
    <w:rPr>
      <w:rFonts w:cs="Symbol"/>
      <w:lang w:val="ru-RU" w:eastAsia="en-US" w:bidi="ar-SA"/>
    </w:rPr>
  </w:style>
  <w:style w:type="character" w:styleId="ListLabel177">
    <w:name w:val="ListLabel 177"/>
    <w:qFormat/>
    <w:rPr>
      <w:rFonts w:cs="Symbol"/>
      <w:lang w:val="ru-RU" w:eastAsia="en-US" w:bidi="ar-SA"/>
    </w:rPr>
  </w:style>
  <w:style w:type="character" w:styleId="ListLabel178">
    <w:name w:val="ListLabel 178"/>
    <w:qFormat/>
    <w:rPr>
      <w:rFonts w:cs="Symbol"/>
      <w:lang w:val="ru-RU" w:eastAsia="en-US" w:bidi="ar-SA"/>
    </w:rPr>
  </w:style>
  <w:style w:type="character" w:styleId="ListLabel179">
    <w:name w:val="ListLabel 179"/>
    <w:qFormat/>
    <w:rPr>
      <w:rFonts w:cs="Symbol"/>
      <w:lang w:val="ru-RU" w:eastAsia="en-US" w:bidi="ar-SA"/>
    </w:rPr>
  </w:style>
  <w:style w:type="character" w:styleId="ListLabel180">
    <w:name w:val="ListLabel 180"/>
    <w:qFormat/>
    <w:rPr>
      <w:rFonts w:cs="Symbol"/>
      <w:lang w:val="ru-RU" w:eastAsia="en-US" w:bidi="ar-SA"/>
    </w:rPr>
  </w:style>
  <w:style w:type="character" w:styleId="ListLabel181">
    <w:name w:val="ListLabel 181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82">
    <w:name w:val="ListLabel 182"/>
    <w:qFormat/>
    <w:rPr>
      <w:rFonts w:cs="Symbol"/>
      <w:lang w:val="ru-RU" w:eastAsia="en-US" w:bidi="ar-SA"/>
    </w:rPr>
  </w:style>
  <w:style w:type="character" w:styleId="ListLabel183">
    <w:name w:val="ListLabel 183"/>
    <w:qFormat/>
    <w:rPr>
      <w:rFonts w:cs="Symbol"/>
      <w:lang w:val="ru-RU" w:eastAsia="en-US" w:bidi="ar-SA"/>
    </w:rPr>
  </w:style>
  <w:style w:type="character" w:styleId="ListLabel184">
    <w:name w:val="ListLabel 184"/>
    <w:qFormat/>
    <w:rPr>
      <w:rFonts w:cs="Symbol"/>
      <w:lang w:val="ru-RU" w:eastAsia="en-US" w:bidi="ar-SA"/>
    </w:rPr>
  </w:style>
  <w:style w:type="character" w:styleId="ListLabel185">
    <w:name w:val="ListLabel 185"/>
    <w:qFormat/>
    <w:rPr>
      <w:rFonts w:cs="Symbol"/>
      <w:lang w:val="ru-RU" w:eastAsia="en-US" w:bidi="ar-SA"/>
    </w:rPr>
  </w:style>
  <w:style w:type="character" w:styleId="ListLabel186">
    <w:name w:val="ListLabel 186"/>
    <w:qFormat/>
    <w:rPr>
      <w:rFonts w:cs="Symbol"/>
      <w:lang w:val="ru-RU" w:eastAsia="en-US" w:bidi="ar-SA"/>
    </w:rPr>
  </w:style>
  <w:style w:type="character" w:styleId="ListLabel187">
    <w:name w:val="ListLabel 187"/>
    <w:qFormat/>
    <w:rPr>
      <w:rFonts w:cs="Symbol"/>
      <w:lang w:val="ru-RU" w:eastAsia="en-US" w:bidi="ar-SA"/>
    </w:rPr>
  </w:style>
  <w:style w:type="character" w:styleId="ListLabel188">
    <w:name w:val="ListLabel 188"/>
    <w:qFormat/>
    <w:rPr>
      <w:rFonts w:cs="Symbol"/>
      <w:lang w:val="ru-RU" w:eastAsia="en-US" w:bidi="ar-SA"/>
    </w:rPr>
  </w:style>
  <w:style w:type="character" w:styleId="ListLabel189">
    <w:name w:val="ListLabel 189"/>
    <w:qFormat/>
    <w:rPr>
      <w:rFonts w:cs="Symbol"/>
      <w:lang w:val="ru-RU" w:eastAsia="en-US" w:bidi="ar-SA"/>
    </w:rPr>
  </w:style>
  <w:style w:type="character" w:styleId="ListLabel190">
    <w:name w:val="ListLabel 190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191">
    <w:name w:val="ListLabel 191"/>
    <w:qFormat/>
    <w:rPr>
      <w:rFonts w:cs="Symbol"/>
      <w:lang w:val="ru-RU" w:eastAsia="en-US" w:bidi="ar-SA"/>
    </w:rPr>
  </w:style>
  <w:style w:type="character" w:styleId="ListLabel192">
    <w:name w:val="ListLabel 192"/>
    <w:qFormat/>
    <w:rPr>
      <w:rFonts w:cs="Symbol"/>
      <w:lang w:val="ru-RU" w:eastAsia="en-US" w:bidi="ar-SA"/>
    </w:rPr>
  </w:style>
  <w:style w:type="character" w:styleId="ListLabel193">
    <w:name w:val="ListLabel 193"/>
    <w:qFormat/>
    <w:rPr>
      <w:rFonts w:cs="Symbol"/>
      <w:lang w:val="ru-RU" w:eastAsia="en-US" w:bidi="ar-SA"/>
    </w:rPr>
  </w:style>
  <w:style w:type="character" w:styleId="ListLabel194">
    <w:name w:val="ListLabel 194"/>
    <w:qFormat/>
    <w:rPr>
      <w:rFonts w:cs="Symbol"/>
      <w:lang w:val="ru-RU" w:eastAsia="en-US" w:bidi="ar-SA"/>
    </w:rPr>
  </w:style>
  <w:style w:type="character" w:styleId="ListLabel195">
    <w:name w:val="ListLabel 195"/>
    <w:qFormat/>
    <w:rPr>
      <w:rFonts w:cs="Symbol"/>
      <w:lang w:val="ru-RU" w:eastAsia="en-US" w:bidi="ar-SA"/>
    </w:rPr>
  </w:style>
  <w:style w:type="character" w:styleId="ListLabel196">
    <w:name w:val="ListLabel 196"/>
    <w:qFormat/>
    <w:rPr>
      <w:rFonts w:cs="Symbol"/>
      <w:lang w:val="ru-RU" w:eastAsia="en-US" w:bidi="ar-SA"/>
    </w:rPr>
  </w:style>
  <w:style w:type="character" w:styleId="ListLabel197">
    <w:name w:val="ListLabel 197"/>
    <w:qFormat/>
    <w:rPr>
      <w:rFonts w:cs="Symbol"/>
      <w:lang w:val="ru-RU" w:eastAsia="en-US" w:bidi="ar-SA"/>
    </w:rPr>
  </w:style>
  <w:style w:type="character" w:styleId="ListLabel198">
    <w:name w:val="ListLabel 198"/>
    <w:qFormat/>
    <w:rPr>
      <w:rFonts w:cs="Symbol"/>
      <w:lang w:val="ru-RU" w:eastAsia="en-US" w:bidi="ar-SA"/>
    </w:rPr>
  </w:style>
  <w:style w:type="character" w:styleId="ListLabel199">
    <w:name w:val="ListLabel 199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200">
    <w:name w:val="ListLabel 200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201">
    <w:name w:val="ListLabel 201"/>
    <w:qFormat/>
    <w:rPr>
      <w:rFonts w:cs="Symbol"/>
      <w:lang w:val="ru-RU" w:eastAsia="en-US" w:bidi="ar-SA"/>
    </w:rPr>
  </w:style>
  <w:style w:type="character" w:styleId="ListLabel202">
    <w:name w:val="ListLabel 202"/>
    <w:qFormat/>
    <w:rPr>
      <w:rFonts w:cs="Symbol"/>
      <w:lang w:val="ru-RU" w:eastAsia="en-US" w:bidi="ar-SA"/>
    </w:rPr>
  </w:style>
  <w:style w:type="character" w:styleId="ListLabel203">
    <w:name w:val="ListLabel 203"/>
    <w:qFormat/>
    <w:rPr>
      <w:rFonts w:cs="Symbol"/>
      <w:lang w:val="ru-RU" w:eastAsia="en-US" w:bidi="ar-SA"/>
    </w:rPr>
  </w:style>
  <w:style w:type="character" w:styleId="ListLabel204">
    <w:name w:val="ListLabel 204"/>
    <w:qFormat/>
    <w:rPr>
      <w:rFonts w:cs="Symbol"/>
      <w:lang w:val="ru-RU" w:eastAsia="en-US" w:bidi="ar-SA"/>
    </w:rPr>
  </w:style>
  <w:style w:type="character" w:styleId="ListLabel205">
    <w:name w:val="ListLabel 205"/>
    <w:qFormat/>
    <w:rPr>
      <w:rFonts w:cs="Symbol"/>
      <w:lang w:val="ru-RU" w:eastAsia="en-US" w:bidi="ar-SA"/>
    </w:rPr>
  </w:style>
  <w:style w:type="character" w:styleId="ListLabel206">
    <w:name w:val="ListLabel 206"/>
    <w:qFormat/>
    <w:rPr>
      <w:rFonts w:cs="Symbol"/>
      <w:lang w:val="ru-RU" w:eastAsia="en-US" w:bidi="ar-SA"/>
    </w:rPr>
  </w:style>
  <w:style w:type="character" w:styleId="ListLabel207">
    <w:name w:val="ListLabel 207"/>
    <w:qFormat/>
    <w:rPr>
      <w:rFonts w:cs="Symbol"/>
      <w:lang w:val="ru-RU" w:eastAsia="en-US" w:bidi="ar-SA"/>
    </w:rPr>
  </w:style>
  <w:style w:type="character" w:styleId="ListLabel208">
    <w:name w:val="ListLabel 208"/>
    <w:qFormat/>
    <w:rPr>
      <w:rFonts w:eastAsia="Times New Roman" w:cs="Times New Roman"/>
      <w:color w:val="00000A"/>
      <w:spacing w:val="0"/>
      <w:w w:val="99"/>
      <w:sz w:val="20"/>
      <w:szCs w:val="20"/>
      <w:lang w:val="ru-RU" w:eastAsia="en-US" w:bidi="ar-SA"/>
    </w:rPr>
  </w:style>
  <w:style w:type="character" w:styleId="ListLabel209">
    <w:name w:val="ListLabel 209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styleId="ListLabel210">
    <w:name w:val="ListLabel 210"/>
    <w:qFormat/>
    <w:rPr>
      <w:rFonts w:cs="Symbol"/>
      <w:lang w:val="ru-RU" w:eastAsia="en-US" w:bidi="ar-SA"/>
    </w:rPr>
  </w:style>
  <w:style w:type="character" w:styleId="ListLabel211">
    <w:name w:val="ListLabel 211"/>
    <w:qFormat/>
    <w:rPr>
      <w:rFonts w:cs="Symbol"/>
      <w:lang w:val="ru-RU" w:eastAsia="en-US" w:bidi="ar-SA"/>
    </w:rPr>
  </w:style>
  <w:style w:type="character" w:styleId="ListLabel212">
    <w:name w:val="ListLabel 212"/>
    <w:qFormat/>
    <w:rPr>
      <w:rFonts w:cs="Symbol"/>
      <w:lang w:val="ru-RU" w:eastAsia="en-US" w:bidi="ar-SA"/>
    </w:rPr>
  </w:style>
  <w:style w:type="character" w:styleId="ListLabel213">
    <w:name w:val="ListLabel 213"/>
    <w:qFormat/>
    <w:rPr>
      <w:rFonts w:cs="Symbol"/>
      <w:lang w:val="ru-RU" w:eastAsia="en-US" w:bidi="ar-SA"/>
    </w:rPr>
  </w:style>
  <w:style w:type="character" w:styleId="ListLabel214">
    <w:name w:val="ListLabel 214"/>
    <w:qFormat/>
    <w:rPr>
      <w:rFonts w:cs="Symbol"/>
      <w:lang w:val="ru-RU" w:eastAsia="en-US" w:bidi="ar-SA"/>
    </w:rPr>
  </w:style>
  <w:style w:type="character" w:styleId="ListLabel215">
    <w:name w:val="ListLabel 215"/>
    <w:qFormat/>
    <w:rPr>
      <w:rFonts w:cs="Symbol"/>
      <w:lang w:val="ru-RU" w:eastAsia="en-US" w:bidi="ar-SA"/>
    </w:rPr>
  </w:style>
  <w:style w:type="character" w:styleId="ListLabel216">
    <w:name w:val="ListLabel 216"/>
    <w:qFormat/>
    <w:rPr>
      <w:rFonts w:cs="Symbol"/>
      <w:lang w:val="ru-RU" w:eastAsia="en-US" w:bidi="ar-SA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/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Title"/>
    <w:basedOn w:val="Normal"/>
    <w:qFormat/>
    <w:pPr>
      <w:spacing w:before="73" w:after="0"/>
      <w:ind w:left="0" w:right="124" w:hanging="0"/>
      <w:jc w:val="right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ListParagraph">
    <w:name w:val="List Paragraph"/>
    <w:basedOn w:val="Normal"/>
    <w:qFormat/>
    <w:pPr>
      <w:spacing w:before="1" w:after="0"/>
      <w:ind w:left="236" w:right="0" w:hanging="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>
      <w:spacing w:lineRule="exact" w:line="197"/>
      <w:jc w:val="center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Style19">
    <w:name w:val="Содержимое таблицы"/>
    <w:basedOn w:val="Normal"/>
    <w:qFormat/>
    <w:pPr/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mailrucssattributepostfix">
    <w:name w:val="consplusnonformat_mailru_css_attribute_postfix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mailrucssattributepostfix">
    <w:name w:val="consplusnormal_mailru_css_attribute_postfix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mailrucssattributepostfix">
    <w:name w:val="msonormal_mailru_css_attribute_postfix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00000A"/>
      <w:sz w:val="20"/>
      <w:szCs w:val="20"/>
      <w:lang w:val="en-US" w:eastAsia="ar-SA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00000A"/>
      <w:sz w:val="20"/>
      <w:szCs w:val="20"/>
      <w:lang w:val="en-US" w:eastAsia="ar-SA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LibreOffice/5.3.0.3$Windows_X86_64 LibreOffice_project/7074905676c47b82bbcfbea1aeefc84afe1c50e1</Application>
  <Pages>36</Pages>
  <Words>10057</Words>
  <Characters>68917</Characters>
  <CharactersWithSpaces>76808</CharactersWithSpaces>
  <Paragraphs>3243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2023-12-15T05:17:03Z</dcterms:created>
  <dc:creator/>
  <dc:description/>
  <dc:language>ru-RU</dc:language>
  <cp:lastModifiedBy/>
  <cp:lastPrinted>2024-01-10T14:12:10Z</cp:lastPrinted>
  <dcterms:modified xsi:type="dcterms:W3CDTF">2024-01-10T14:15:15Z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2023-12-05T00:00:00Z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2023-12-15T00:00:00Z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