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20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ПУБЛИЧНАЯ ОФЕРТА</w:t>
      </w:r>
    </w:p>
    <w:p>
      <w:pPr>
        <w:pStyle w:val="Normal"/>
        <w:spacing w:lineRule="auto" w:line="240" w:before="0" w:after="20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возмездное оказание услуг по техническому обслуживанию инженерных сетей и</w:t>
      </w:r>
    </w:p>
    <w:p>
      <w:pPr>
        <w:pStyle w:val="Normal"/>
        <w:spacing w:lineRule="auto" w:line="240" w:before="0" w:after="20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систем жилых зданий на территории Залесовского сельсовета</w:t>
      </w:r>
    </w:p>
    <w:p>
      <w:pPr>
        <w:pStyle w:val="Normal"/>
        <w:spacing w:lineRule="auto" w:line="240" w:before="0" w:after="20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Красногвардейского района Оренбургской области</w:t>
      </w:r>
    </w:p>
    <w:p>
      <w:pPr>
        <w:pStyle w:val="Normal"/>
        <w:spacing w:lineRule="auto" w:line="240" w:before="0" w:after="20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Настоящая Публичная Оферта (далее по тексту – «Оферта») является официальным предложением Общества с ограниченной ответственностью «Сельские коммунальные сети» (ООО «СКС») в лице директора ООО «СКС»  Изаак В.А., действующего на основании Устава ООО «СКС», в дальнейшем «Исполнитель» заключить с любым индивидуальным предпринимателем, юридическим и физическим лицом, в лице своего уполномоченного представителя, в дальнейшем «Заказчик», Договор на возмездное оказание услуг по техническому обслуживанию инженерных сетей и систем жилых зданий на территории Залесовского сельсовета, Красногвардейского района, Оренбургской области.</w:t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Настоящая Оферта адресована в отношении неограниченного числа индивидуальных предпринимателей, юридических и физических лиц, обладающих соответствующей право- и дееспособностью (правосубъективностью, деликтоспособностью) в соответствии с законодательством Российской Федерации, позволяющей ему вступать в гражданские правоотношения с Исполнителем на условиях, определенных в Оферте.</w:t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Настоящим презюмируется и подтверждает, что индивидуальный предприниматель, юридическое и физическое лицо имеет достаточную право- и дееспособность (правосубъектность, деликтоспособность) достаточную для заключения Договора на оказание услуг с ООО «СКС» на условиях, установленных в Оферте.</w:t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Акцепт настоящей Оферты осуществляется путем совершения Заказчиком любых фактических действий, свидетельствующих о его намерении, волеизъявлении и желании вступить в правоотношения с Исполнителем будь оно в письменной или устной форме о получить услуги, оказываемые Исполнителем. В частности к указанным фактическим действиям Заказчика относится:</w:t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-подача заявки, заключение соглашения, заказ по телефону, допуск работников ООО «СКС» к ремонту и другие действия, свидетельствующие о намерении на получение услуг.</w:t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Акцепт Оферты означает ознакомление, понимание Заказчиком всех вместе и каждого в отдельности условия Оферты, полное, безусловное и безоговорочное согласие с положениями и требованиями, определенными в Оферте. С момента акцепта Оферты Договор на оказание услуг между Исполнителем и Заказчиком признается заключенным и согласованным, Исполнитель обязуется надлежащим образом и в соответствии с положениями настоящей Оферты оказывать Заказчику услуги, являющиеся предметом Оферты.</w:t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Заказчик обязуется оплачивать услуги, в порядке, сроки и на условиях установленных настоящей Офертой. Заказчик обязуется незамедлительно уведомлять Исполнителя о наличии претензий к качеству оказываемых услуг.</w:t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Оказание услуг  по настоящей Оферте осуществляется в течении 3-х дней с момента фактических действий Заказчика.</w:t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Оказание подтверждается Актом оказанных услуг, формируемым Исполнителем и направляемым в адрес Заказчика в 2-х экземплярах.</w:t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Заказчик обязуется подписать Акт оказанных услуг и направить один экземпляр в адрес Исполнителя.</w:t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Акт оказанных услуг, если по нему не поступают в течении 3-х дней мотивированного возражения считается одобренным и принятым Заказчиком в полном объеме в соответствии с условиями указанными в нем.</w:t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Стоимость услуг, оказываемых Исполнителем, определяется в соответствии с Тарифами на  услуги, публикуемыми как приложение настоящей Публичной Оферты.</w:t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Оплата за услуги производится Заказчиком на основании счета Исполнителем за каждый отчетный месяц не позднее 25-го числа каждого месяца. Оплата услуг производится путем перечисления соответствующей суммы денежных средств на расчетный счет или в кассу Исполнителя. Датой оплаты признается дата поступления средств в распоряжение Исполнителя.</w:t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Комиссии, взимаемые кредитными организациями и т.д., оплачиваются за счет Заказчика. Исполнитель вправе без объяснения причин в одностороннем порядке изменить стоимость оказания услуг путем размещения Тарифов на услуги в новой редакции в газете «Красногвардеец».</w:t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Исполнитель вправе предъявить требование к Заказчику об оплате неустойки в виде пени в размере 0,1% от суммы не перечисленного в срок платежа за каждый календарный день просрочки до даты фактического исполнения обязательства по оплате.</w:t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Настоящая Оферта размещена на неопределенный срок и утрачивает свою силу при ее аннулировании Исполнителем, путем обнародования и размещения на официальном сайте МО «Залесовский сельсовет».</w:t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Адрес и реквизиты  ООО «СКС»</w:t>
      </w:r>
    </w:p>
    <w:p>
      <w:pPr>
        <w:pStyle w:val="Normal"/>
        <w:spacing w:lineRule="auto" w:line="240" w:before="0" w:after="200"/>
        <w:contextualSpacing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 xml:space="preserve">Юридический адрес: </w:t>
      </w:r>
      <w:r>
        <w:rPr>
          <w:rFonts w:cs="Times New Roman" w:ascii="Times New Roman" w:hAnsi="Times New Roman"/>
          <w:sz w:val="24"/>
          <w:szCs w:val="24"/>
        </w:rPr>
        <w:t xml:space="preserve">461141, </w:t>
      </w:r>
      <w:r>
        <w:rPr>
          <w:rFonts w:eastAsia="Calibri" w:cs="Times New Roman" w:ascii="Times New Roman" w:hAnsi="Times New Roman"/>
          <w:sz w:val="24"/>
          <w:szCs w:val="24"/>
        </w:rPr>
        <w:t>Оренбургская область,  Красногвардейский район,</w:t>
      </w:r>
    </w:p>
    <w:p>
      <w:pPr>
        <w:pStyle w:val="Normal"/>
        <w:spacing w:lineRule="auto" w:line="240" w:before="0" w:after="200"/>
        <w:contextualSpacing/>
        <w:rPr>
          <w:rFonts w:ascii="Times New Roman" w:hAnsi="Times New Roman" w:eastAsia="Calibri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</w:t>
      </w:r>
      <w:r>
        <w:rPr>
          <w:rFonts w:eastAsia="Calibri" w:cs="Times New Roman" w:ascii="Times New Roman" w:hAnsi="Times New Roman"/>
          <w:sz w:val="24"/>
          <w:szCs w:val="24"/>
        </w:rPr>
        <w:t>.Подольск,  ул.Юбилейная 49.</w:t>
      </w:r>
    </w:p>
    <w:p>
      <w:pPr>
        <w:pStyle w:val="Normal"/>
        <w:spacing w:lineRule="auto" w:line="240" w:before="0" w:after="200"/>
        <w:contextualSpacing/>
        <w:rPr>
          <w:rFonts w:ascii="Times New Roman" w:hAnsi="Times New Roman" w:eastAsia="Calibri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Фактический </w:t>
      </w:r>
      <w:r>
        <w:rPr>
          <w:rFonts w:eastAsia="Calibri" w:cs="Times New Roman" w:ascii="Times New Roman" w:hAnsi="Times New Roman"/>
          <w:sz w:val="24"/>
          <w:szCs w:val="24"/>
        </w:rPr>
        <w:t xml:space="preserve"> адрес:</w:t>
      </w:r>
      <w:r>
        <w:rPr>
          <w:rFonts w:cs="Times New Roman" w:ascii="Times New Roman" w:hAnsi="Times New Roman"/>
          <w:sz w:val="24"/>
          <w:szCs w:val="24"/>
        </w:rPr>
        <w:t xml:space="preserve"> 461141, </w:t>
      </w:r>
      <w:r>
        <w:rPr>
          <w:rFonts w:eastAsia="Calibri" w:cs="Times New Roman" w:ascii="Times New Roman" w:hAnsi="Times New Roman"/>
          <w:sz w:val="24"/>
          <w:szCs w:val="24"/>
        </w:rPr>
        <w:t>Оренбургская область, Красногвардейский район,</w:t>
      </w:r>
    </w:p>
    <w:p>
      <w:pPr>
        <w:pStyle w:val="Normal"/>
        <w:spacing w:lineRule="auto" w:line="240" w:before="0" w:after="200"/>
        <w:contextualSpacing/>
        <w:rPr>
          <w:rFonts w:ascii="Times New Roman" w:hAnsi="Times New Roman" w:eastAsia="Calibri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с.Подольск,  ул.</w:t>
      </w:r>
      <w:r>
        <w:rPr>
          <w:rFonts w:eastAsia="Calibri" w:cs="Times New Roman" w:ascii="Times New Roman" w:hAnsi="Times New Roman"/>
          <w:sz w:val="24"/>
          <w:szCs w:val="24"/>
        </w:rPr>
        <w:t>Юбилейная 49.</w:t>
      </w:r>
    </w:p>
    <w:p>
      <w:pPr>
        <w:pStyle w:val="Normal"/>
        <w:spacing w:lineRule="auto" w:line="240" w:before="0" w:after="200"/>
        <w:contextualSpacing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ИНН 5631020865</w:t>
      </w:r>
    </w:p>
    <w:p>
      <w:pPr>
        <w:pStyle w:val="Normal"/>
        <w:spacing w:lineRule="auto" w:line="240" w:before="0" w:after="20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 xml:space="preserve">КПП 563101001 </w:t>
      </w:r>
    </w:p>
    <w:p>
      <w:pPr>
        <w:pStyle w:val="Normal"/>
        <w:spacing w:lineRule="auto" w:line="240" w:before="0" w:after="200"/>
        <w:contextualSpacing/>
        <w:rPr>
          <w:rFonts w:ascii="Times New Roman" w:hAnsi="Times New Roman" w:eastAsia="Calibri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Р/сч</w:t>
      </w:r>
      <w:r>
        <w:rPr>
          <w:rFonts w:eastAsia="Calibri" w:cs="Times New Roman" w:ascii="Times New Roman" w:hAnsi="Times New Roman"/>
          <w:sz w:val="24"/>
          <w:szCs w:val="24"/>
        </w:rPr>
        <w:t xml:space="preserve"> 40702810246000002195</w:t>
      </w:r>
      <w:r>
        <w:rPr>
          <w:rFonts w:cs="Times New Roman" w:ascii="Times New Roman" w:hAnsi="Times New Roman"/>
          <w:sz w:val="24"/>
          <w:szCs w:val="24"/>
        </w:rPr>
        <w:t xml:space="preserve">  </w:t>
      </w:r>
      <w:r>
        <w:rPr>
          <w:rFonts w:eastAsia="Calibri" w:cs="Times New Roman" w:ascii="Times New Roman" w:hAnsi="Times New Roman"/>
          <w:sz w:val="24"/>
          <w:szCs w:val="24"/>
        </w:rPr>
        <w:t>Оренбургское отделение № 8623 Сбербанк  России</w:t>
      </w:r>
    </w:p>
    <w:p>
      <w:pPr>
        <w:pStyle w:val="Normal"/>
        <w:spacing w:lineRule="auto" w:line="240" w:before="0" w:after="200"/>
        <w:contextualSpacing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 xml:space="preserve">БИК 045354601 </w:t>
      </w:r>
    </w:p>
    <w:p>
      <w:pPr>
        <w:pStyle w:val="Normal"/>
        <w:spacing w:lineRule="auto" w:line="240" w:before="0" w:after="200"/>
        <w:contextualSpacing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К/с 30101810600000000601</w:t>
      </w:r>
    </w:p>
    <w:p>
      <w:pPr>
        <w:pStyle w:val="Normal"/>
        <w:spacing w:lineRule="auto" w:line="240" w:before="0" w:after="200"/>
        <w:contextualSpacing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КБК 53223825</w:t>
      </w:r>
    </w:p>
    <w:p>
      <w:pPr>
        <w:pStyle w:val="Normal"/>
        <w:spacing w:lineRule="auto" w:line="240" w:before="0" w:after="200"/>
        <w:contextualSpacing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ОГРН 1155652022079</w:t>
      </w:r>
    </w:p>
    <w:p>
      <w:pPr>
        <w:pStyle w:val="Normal"/>
        <w:spacing w:lineRule="auto" w:line="240" w:before="0" w:after="200"/>
        <w:contextualSpacing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Телефон/факс (35345) 3-74-35</w:t>
      </w:r>
    </w:p>
    <w:p>
      <w:pPr>
        <w:pStyle w:val="Normal"/>
        <w:spacing w:lineRule="auto" w:line="240" w:before="0" w:after="200"/>
        <w:contextualSpacing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contextualSpacing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contextualSpacing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contextualSpacing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contextualSpacing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contextualSpacing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contextualSpacing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contextualSpacing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contextualSpacing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contextualSpacing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contextualSpacing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contextualSpacing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contextualSpacing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contextualSpacing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contextualSpacing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contextualSpacing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contextualSpacing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contextualSpacing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contextualSpacing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/>
      </w:pPr>
      <w:r>
        <w:rPr>
          <w:rFonts w:cs="Times New Roman" w:ascii="Times New Roman" w:hAnsi="Times New Roman"/>
          <w:sz w:val="24"/>
          <w:szCs w:val="24"/>
        </w:rPr>
        <w:t>Приложения</w:t>
      </w:r>
    </w:p>
    <w:tbl>
      <w:tblPr>
        <w:tblStyle w:val="a3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069"/>
        <w:gridCol w:w="2269"/>
        <w:gridCol w:w="2233"/>
      </w:tblGrid>
      <w:tr>
        <w:trPr/>
        <w:tc>
          <w:tcPr>
            <w:tcW w:w="506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b/>
                <w:sz w:val="24"/>
                <w:szCs w:val="24"/>
                <w:lang w:eastAsia="ru-RU"/>
              </w:rPr>
              <w:t>Водопроводные сети</w:t>
            </w:r>
          </w:p>
        </w:tc>
        <w:tc>
          <w:tcPr>
            <w:tcW w:w="226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b/>
                <w:sz w:val="24"/>
                <w:szCs w:val="24"/>
                <w:lang w:eastAsia="ru-RU"/>
              </w:rPr>
              <w:t xml:space="preserve">Периодичность </w:t>
            </w:r>
          </w:p>
        </w:tc>
        <w:tc>
          <w:tcPr>
            <w:tcW w:w="2233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" w:cs="Times New Roman" w:eastAsiaTheme="minorEastAsia" w:ascii="Times New Roman" w:hAnsi="Times New Roman"/>
                <w:b/>
                <w:sz w:val="24"/>
                <w:szCs w:val="24"/>
                <w:lang w:eastAsia="ru-RU"/>
              </w:rPr>
              <w:t>Стоимость (руб.)</w:t>
            </w:r>
          </w:p>
        </w:tc>
      </w:tr>
      <w:tr>
        <w:trPr/>
        <w:tc>
          <w:tcPr>
            <w:tcW w:w="506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Внешний осмотр сетей</w:t>
            </w:r>
          </w:p>
        </w:tc>
        <w:tc>
          <w:tcPr>
            <w:tcW w:w="226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eastAsia="" w:eastAsiaTheme="minorEastAsia"/>
                <w:lang w:eastAsia="ru-RU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1 раза в год</w:t>
            </w:r>
          </w:p>
        </w:tc>
        <w:tc>
          <w:tcPr>
            <w:tcW w:w="2233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240</w:t>
            </w:r>
          </w:p>
        </w:tc>
      </w:tr>
      <w:tr>
        <w:trPr/>
        <w:tc>
          <w:tcPr>
            <w:tcW w:w="506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Осмотр запорной арматуры, смесителей</w:t>
            </w:r>
          </w:p>
        </w:tc>
        <w:tc>
          <w:tcPr>
            <w:tcW w:w="226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eastAsia="" w:eastAsiaTheme="minorEastAsia"/>
                <w:lang w:eastAsia="ru-RU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1 раза в год</w:t>
            </w:r>
          </w:p>
        </w:tc>
        <w:tc>
          <w:tcPr>
            <w:tcW w:w="2233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240</w:t>
            </w:r>
          </w:p>
        </w:tc>
      </w:tr>
      <w:tr>
        <w:trPr/>
        <w:tc>
          <w:tcPr>
            <w:tcW w:w="506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Устранение утечек на запорной аппаратуре</w:t>
            </w:r>
          </w:p>
        </w:tc>
        <w:tc>
          <w:tcPr>
            <w:tcW w:w="226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При осмотре</w:t>
            </w:r>
          </w:p>
        </w:tc>
        <w:tc>
          <w:tcPr>
            <w:tcW w:w="2233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sz w:val="24"/>
                <w:szCs w:val="24"/>
                <w:lang w:eastAsia="ru-RU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506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Чистка фильтров</w:t>
            </w:r>
          </w:p>
        </w:tc>
        <w:tc>
          <w:tcPr>
            <w:tcW w:w="226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eastAsia="" w:eastAsiaTheme="minorEastAsia"/>
                <w:lang w:eastAsia="ru-RU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1 раза в год</w:t>
            </w:r>
          </w:p>
        </w:tc>
        <w:tc>
          <w:tcPr>
            <w:tcW w:w="2233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240</w:t>
            </w:r>
          </w:p>
        </w:tc>
      </w:tr>
      <w:tr>
        <w:trPr/>
        <w:tc>
          <w:tcPr>
            <w:tcW w:w="506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Проверка исправности счетчиков</w:t>
            </w:r>
          </w:p>
        </w:tc>
        <w:tc>
          <w:tcPr>
            <w:tcW w:w="226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eastAsia="" w:eastAsiaTheme="minorEastAsia"/>
                <w:lang w:eastAsia="ru-RU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1 раза в год</w:t>
            </w:r>
          </w:p>
        </w:tc>
        <w:tc>
          <w:tcPr>
            <w:tcW w:w="2233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120</w:t>
            </w:r>
          </w:p>
        </w:tc>
      </w:tr>
      <w:tr>
        <w:trPr/>
        <w:tc>
          <w:tcPr>
            <w:tcW w:w="506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Замена счетчиков по сроку проверки (без стоимости счетчика)</w:t>
            </w:r>
          </w:p>
        </w:tc>
        <w:tc>
          <w:tcPr>
            <w:tcW w:w="226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По сроку</w:t>
            </w:r>
          </w:p>
        </w:tc>
        <w:tc>
          <w:tcPr>
            <w:tcW w:w="2233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sz w:val="24"/>
                <w:szCs w:val="24"/>
                <w:lang w:eastAsia="ru-RU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506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Замена счетчиков по неисправности (без стоимости счетчиков)</w:t>
            </w:r>
          </w:p>
        </w:tc>
        <w:tc>
          <w:tcPr>
            <w:tcW w:w="226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sz w:val="24"/>
                <w:szCs w:val="24"/>
                <w:lang w:eastAsia="ru-RU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233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sz w:val="24"/>
                <w:szCs w:val="24"/>
                <w:lang w:eastAsia="ru-RU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506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Устранение порыва (1 раз бесплатно)</w:t>
            </w:r>
          </w:p>
        </w:tc>
        <w:tc>
          <w:tcPr>
            <w:tcW w:w="226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По необходимости</w:t>
            </w:r>
          </w:p>
        </w:tc>
        <w:tc>
          <w:tcPr>
            <w:tcW w:w="2233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1 раз бесплатно, последующие по Акту выполненных работ</w:t>
            </w:r>
          </w:p>
        </w:tc>
      </w:tr>
      <w:tr>
        <w:trPr/>
        <w:tc>
          <w:tcPr>
            <w:tcW w:w="506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Замена водопровода (материал исполнителя)</w:t>
            </w:r>
          </w:p>
        </w:tc>
        <w:tc>
          <w:tcPr>
            <w:tcW w:w="2269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По необходимости</w:t>
            </w:r>
          </w:p>
        </w:tc>
        <w:tc>
          <w:tcPr>
            <w:tcW w:w="2233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по Акту выполненных работ</w:t>
            </w:r>
          </w:p>
        </w:tc>
      </w:tr>
      <w:tr>
        <w:trPr/>
        <w:tc>
          <w:tcPr>
            <w:tcW w:w="7338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233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840 руб. в год</w:t>
            </w:r>
          </w:p>
        </w:tc>
      </w:tr>
    </w:tbl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contextualSpacing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3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637"/>
        <w:gridCol w:w="2126"/>
        <w:gridCol w:w="1808"/>
      </w:tblGrid>
      <w:tr>
        <w:trPr/>
        <w:tc>
          <w:tcPr>
            <w:tcW w:w="563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b/>
                <w:sz w:val="24"/>
                <w:szCs w:val="24"/>
                <w:lang w:eastAsia="ru-RU"/>
              </w:rPr>
              <w:t xml:space="preserve">Электрооборудование </w:t>
            </w:r>
          </w:p>
        </w:tc>
        <w:tc>
          <w:tcPr>
            <w:tcW w:w="212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b/>
                <w:sz w:val="24"/>
                <w:szCs w:val="24"/>
                <w:lang w:eastAsia="ru-RU"/>
              </w:rPr>
              <w:t>Периодичность</w:t>
            </w:r>
          </w:p>
        </w:tc>
        <w:tc>
          <w:tcPr>
            <w:tcW w:w="180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b/>
                <w:sz w:val="24"/>
                <w:szCs w:val="24"/>
                <w:lang w:eastAsia="ru-RU"/>
              </w:rPr>
              <w:t>Стоимость (руб.)</w:t>
            </w:r>
          </w:p>
        </w:tc>
      </w:tr>
      <w:tr>
        <w:trPr/>
        <w:tc>
          <w:tcPr>
            <w:tcW w:w="563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Внешний осмотр электросетей</w:t>
            </w:r>
          </w:p>
        </w:tc>
        <w:tc>
          <w:tcPr>
            <w:tcW w:w="212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1 раза в год</w:t>
            </w:r>
          </w:p>
        </w:tc>
        <w:tc>
          <w:tcPr>
            <w:tcW w:w="180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120</w:t>
            </w:r>
          </w:p>
        </w:tc>
      </w:tr>
      <w:tr>
        <w:trPr/>
        <w:tc>
          <w:tcPr>
            <w:tcW w:w="563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Проверка отсутствия механических повреждений, прочности контактных соединений</w:t>
            </w:r>
          </w:p>
        </w:tc>
        <w:tc>
          <w:tcPr>
            <w:tcW w:w="212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1 раза в год</w:t>
            </w:r>
          </w:p>
        </w:tc>
        <w:tc>
          <w:tcPr>
            <w:tcW w:w="180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84</w:t>
            </w:r>
          </w:p>
        </w:tc>
      </w:tr>
      <w:tr>
        <w:trPr/>
        <w:tc>
          <w:tcPr>
            <w:tcW w:w="563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Проверка механический защиты в местах прохода сквозь перегородки, перекрытия</w:t>
            </w:r>
          </w:p>
        </w:tc>
        <w:tc>
          <w:tcPr>
            <w:tcW w:w="212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eastAsia="" w:eastAsiaTheme="minorEastAsia"/>
                <w:lang w:eastAsia="ru-RU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1 раза в год</w:t>
            </w:r>
          </w:p>
        </w:tc>
        <w:tc>
          <w:tcPr>
            <w:tcW w:w="180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96</w:t>
            </w:r>
          </w:p>
        </w:tc>
      </w:tr>
      <w:tr>
        <w:trPr/>
        <w:tc>
          <w:tcPr>
            <w:tcW w:w="563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Проверка расположения и крепления проводов</w:t>
            </w:r>
          </w:p>
        </w:tc>
        <w:tc>
          <w:tcPr>
            <w:tcW w:w="212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eastAsia="" w:eastAsiaTheme="minorEastAsia"/>
                <w:lang w:eastAsia="ru-RU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1 раза в год</w:t>
            </w:r>
          </w:p>
        </w:tc>
        <w:tc>
          <w:tcPr>
            <w:tcW w:w="180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90</w:t>
            </w:r>
          </w:p>
        </w:tc>
      </w:tr>
      <w:tr>
        <w:trPr/>
        <w:tc>
          <w:tcPr>
            <w:tcW w:w="563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Изолирование отдельных оголенных мест или мест повреждения изоляции</w:t>
            </w:r>
          </w:p>
        </w:tc>
        <w:tc>
          <w:tcPr>
            <w:tcW w:w="212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При осмотре</w:t>
            </w:r>
          </w:p>
        </w:tc>
        <w:tc>
          <w:tcPr>
            <w:tcW w:w="180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90</w:t>
            </w:r>
          </w:p>
        </w:tc>
      </w:tr>
      <w:tr>
        <w:trPr/>
        <w:tc>
          <w:tcPr>
            <w:tcW w:w="563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Проверка состояния и соответствия плавких вставок и предохранителей номинальным токам потребителей и по необходимости их замены</w:t>
            </w:r>
          </w:p>
        </w:tc>
        <w:tc>
          <w:tcPr>
            <w:tcW w:w="212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eastAsia="" w:eastAsiaTheme="minorEastAsia"/>
                <w:lang w:eastAsia="ru-RU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1 раза в год</w:t>
            </w:r>
          </w:p>
        </w:tc>
        <w:tc>
          <w:tcPr>
            <w:tcW w:w="180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sz w:val="24"/>
                <w:szCs w:val="24"/>
                <w:lang w:eastAsia="ru-RU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563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Проверка изоляции мегомметром</w:t>
            </w:r>
          </w:p>
        </w:tc>
        <w:tc>
          <w:tcPr>
            <w:tcW w:w="212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eastAsia="" w:eastAsiaTheme="minorEastAsia"/>
                <w:lang w:eastAsia="ru-RU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1 раза в год</w:t>
            </w:r>
          </w:p>
        </w:tc>
        <w:tc>
          <w:tcPr>
            <w:tcW w:w="180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90</w:t>
            </w:r>
          </w:p>
        </w:tc>
      </w:tr>
      <w:tr>
        <w:trPr/>
        <w:tc>
          <w:tcPr>
            <w:tcW w:w="563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Ревизия выключателей, штепсельных розеток</w:t>
            </w:r>
          </w:p>
        </w:tc>
        <w:tc>
          <w:tcPr>
            <w:tcW w:w="212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eastAsia="" w:eastAsiaTheme="minorEastAsia"/>
                <w:lang w:eastAsia="ru-RU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1 раза в год</w:t>
            </w:r>
          </w:p>
        </w:tc>
        <w:tc>
          <w:tcPr>
            <w:tcW w:w="180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90</w:t>
            </w:r>
          </w:p>
        </w:tc>
      </w:tr>
      <w:tr>
        <w:trPr/>
        <w:tc>
          <w:tcPr>
            <w:tcW w:w="563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Проверка крепления патронов, ламподержателей</w:t>
            </w:r>
          </w:p>
        </w:tc>
        <w:tc>
          <w:tcPr>
            <w:tcW w:w="212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eastAsia="" w:eastAsiaTheme="minorEastAsia"/>
                <w:lang w:eastAsia="ru-RU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1 раза в год</w:t>
            </w:r>
          </w:p>
        </w:tc>
        <w:tc>
          <w:tcPr>
            <w:tcW w:w="180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90</w:t>
            </w:r>
          </w:p>
        </w:tc>
      </w:tr>
      <w:tr>
        <w:trPr/>
        <w:tc>
          <w:tcPr>
            <w:tcW w:w="563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Проверка наличия цепи между заземлителем заземляемым оборудованием</w:t>
            </w:r>
          </w:p>
        </w:tc>
        <w:tc>
          <w:tcPr>
            <w:tcW w:w="212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eastAsia="" w:eastAsiaTheme="minorEastAsia"/>
                <w:lang w:eastAsia="ru-RU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1 раза в год</w:t>
            </w:r>
          </w:p>
        </w:tc>
        <w:tc>
          <w:tcPr>
            <w:tcW w:w="180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" w:cs="Times New Roman" w:eastAsiaTheme="minorEastAsia"/>
                <w:sz w:val="24"/>
                <w:szCs w:val="24"/>
                <w:lang w:eastAsia="ru-RU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563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Устранение обнаруженных дефектов</w:t>
            </w:r>
          </w:p>
        </w:tc>
        <w:tc>
          <w:tcPr>
            <w:tcW w:w="212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eastAsia="" w:eastAsiaTheme="minorEastAsia"/>
                <w:lang w:eastAsia="ru-RU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При осмотре</w:t>
            </w:r>
          </w:p>
        </w:tc>
        <w:tc>
          <w:tcPr>
            <w:tcW w:w="180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" w:cs="Times New Roman" w:eastAsiaTheme="minorEastAsia"/>
                <w:sz w:val="24"/>
                <w:szCs w:val="24"/>
                <w:lang w:eastAsia="ru-RU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563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Устранение обрывов и подтяжка контактов в сетях заземления</w:t>
            </w:r>
          </w:p>
        </w:tc>
        <w:tc>
          <w:tcPr>
            <w:tcW w:w="212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eastAsia="" w:eastAsiaTheme="minorEastAsia"/>
                <w:lang w:eastAsia="ru-RU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При осмотре</w:t>
            </w:r>
          </w:p>
        </w:tc>
        <w:tc>
          <w:tcPr>
            <w:tcW w:w="180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" w:cs="Times New Roman" w:eastAsiaTheme="minorEastAsia"/>
                <w:sz w:val="24"/>
                <w:szCs w:val="24"/>
                <w:lang w:eastAsia="ru-RU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7763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80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840 руб. в год</w:t>
            </w:r>
          </w:p>
        </w:tc>
      </w:tr>
    </w:tbl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200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200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Утверждаю </w:t>
      </w:r>
    </w:p>
    <w:p>
      <w:pPr>
        <w:pStyle w:val="Normal"/>
        <w:spacing w:lineRule="auto" w:line="240" w:before="0" w:after="200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Директор ООО «СКС»</w:t>
      </w:r>
    </w:p>
    <w:p>
      <w:pPr>
        <w:pStyle w:val="Normal"/>
        <w:spacing w:lineRule="auto" w:line="240" w:before="0" w:after="200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__________В.А.Изаак</w:t>
      </w:r>
    </w:p>
    <w:p>
      <w:pPr>
        <w:pStyle w:val="Normal"/>
        <w:spacing w:lineRule="auto" w:line="240" w:before="0" w:after="200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«01» февраля 2018 г.</w:t>
      </w:r>
    </w:p>
    <w:p>
      <w:pPr>
        <w:pStyle w:val="Normal"/>
        <w:spacing w:lineRule="auto" w:line="240" w:before="0" w:after="200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firstLine="567"/>
        <w:contextualSpacing/>
        <w:jc w:val="right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Калькуляция на обслуживание инженерных систем электрооборудования на 2018г.:</w:t>
      </w:r>
    </w:p>
    <w:p>
      <w:pPr>
        <w:pStyle w:val="Normal"/>
        <w:spacing w:lineRule="auto" w:line="240" w:before="0" w:after="200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3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817"/>
        <w:gridCol w:w="3260"/>
        <w:gridCol w:w="3402"/>
        <w:gridCol w:w="2091"/>
      </w:tblGrid>
      <w:tr>
        <w:trPr/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З/плата электрика</w:t>
            </w:r>
          </w:p>
        </w:tc>
        <w:tc>
          <w:tcPr>
            <w:tcW w:w="340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(7500/165,6х1 час) х 12мес.</w:t>
            </w:r>
          </w:p>
        </w:tc>
        <w:tc>
          <w:tcPr>
            <w:tcW w:w="209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543,48руб.</w:t>
            </w:r>
          </w:p>
        </w:tc>
      </w:tr>
      <w:tr>
        <w:trPr/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 xml:space="preserve">Начисление </w:t>
            </w:r>
          </w:p>
        </w:tc>
        <w:tc>
          <w:tcPr>
            <w:tcW w:w="340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30,2% х 12мес.</w:t>
            </w:r>
          </w:p>
        </w:tc>
        <w:tc>
          <w:tcPr>
            <w:tcW w:w="209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164,13руб.</w:t>
            </w:r>
          </w:p>
        </w:tc>
      </w:tr>
      <w:tr>
        <w:trPr/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Итого  прямых расходов</w:t>
            </w:r>
          </w:p>
        </w:tc>
        <w:tc>
          <w:tcPr>
            <w:tcW w:w="340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eastAsia="" w:cs="Times New Roman" w:eastAsiaTheme="minorEastAsia"/>
                <w:sz w:val="24"/>
                <w:szCs w:val="24"/>
                <w:lang w:eastAsia="ru-RU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09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707,61руб</w:t>
            </w:r>
          </w:p>
        </w:tc>
      </w:tr>
      <w:tr>
        <w:trPr/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Общехозяйственные расходы</w:t>
            </w:r>
          </w:p>
        </w:tc>
        <w:tc>
          <w:tcPr>
            <w:tcW w:w="340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18,71% х 12мес</w:t>
            </w:r>
          </w:p>
        </w:tc>
        <w:tc>
          <w:tcPr>
            <w:tcW w:w="209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132,39</w:t>
            </w:r>
          </w:p>
        </w:tc>
      </w:tr>
      <w:tr>
        <w:trPr/>
        <w:tc>
          <w:tcPr>
            <w:tcW w:w="4077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b/>
                <w:sz w:val="24"/>
                <w:szCs w:val="24"/>
                <w:lang w:eastAsia="ru-RU"/>
              </w:rPr>
              <w:t>Итого за год</w:t>
            </w:r>
          </w:p>
        </w:tc>
        <w:tc>
          <w:tcPr>
            <w:tcW w:w="340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eastAsia="" w:cs="Times New Roman" w:eastAsiaTheme="minorEastAsia"/>
                <w:sz w:val="24"/>
                <w:szCs w:val="24"/>
                <w:lang w:eastAsia="ru-RU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09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b/>
                <w:sz w:val="24"/>
                <w:szCs w:val="24"/>
                <w:lang w:eastAsia="ru-RU"/>
              </w:rPr>
              <w:t>840,00</w:t>
            </w:r>
          </w:p>
        </w:tc>
      </w:tr>
    </w:tbl>
    <w:p>
      <w:pPr>
        <w:pStyle w:val="Normal"/>
        <w:spacing w:lineRule="auto" w:line="240" w:before="0" w:after="200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Директор ООО «СКС»</w:t>
      </w:r>
    </w:p>
    <w:p>
      <w:pPr>
        <w:pStyle w:val="Normal"/>
        <w:spacing w:lineRule="auto" w:line="240" w:before="0" w:after="200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__________В.А.Изаак</w:t>
      </w:r>
    </w:p>
    <w:p>
      <w:pPr>
        <w:pStyle w:val="Normal"/>
        <w:spacing w:lineRule="auto" w:line="240" w:before="0" w:after="200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«01» февраля 2018 г.</w:t>
      </w:r>
    </w:p>
    <w:p>
      <w:pPr>
        <w:pStyle w:val="Normal"/>
        <w:spacing w:lineRule="auto" w:line="240" w:before="0" w:after="200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firstLine="567"/>
        <w:contextualSpacing/>
        <w:jc w:val="right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Калькуляция на обслуживание инженерных систем водопроводных сетей на 2018г.:</w:t>
      </w:r>
    </w:p>
    <w:p>
      <w:pPr>
        <w:pStyle w:val="Normal"/>
        <w:spacing w:lineRule="auto" w:line="240" w:before="0" w:after="200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3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817"/>
        <w:gridCol w:w="3260"/>
        <w:gridCol w:w="3402"/>
        <w:gridCol w:w="2091"/>
      </w:tblGrid>
      <w:tr>
        <w:trPr/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З/плата слесаря</w:t>
            </w:r>
          </w:p>
        </w:tc>
        <w:tc>
          <w:tcPr>
            <w:tcW w:w="340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(7500/165,6х1 час) х 12мес.</w:t>
            </w:r>
          </w:p>
        </w:tc>
        <w:tc>
          <w:tcPr>
            <w:tcW w:w="209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543,48руб.</w:t>
            </w:r>
          </w:p>
        </w:tc>
      </w:tr>
      <w:tr>
        <w:trPr/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 xml:space="preserve">Начисление </w:t>
            </w:r>
          </w:p>
        </w:tc>
        <w:tc>
          <w:tcPr>
            <w:tcW w:w="340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30,2% х 12мес.</w:t>
            </w:r>
          </w:p>
        </w:tc>
        <w:tc>
          <w:tcPr>
            <w:tcW w:w="209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164,13руб.</w:t>
            </w:r>
          </w:p>
        </w:tc>
      </w:tr>
      <w:tr>
        <w:trPr/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Итого  прямых расходов</w:t>
            </w:r>
          </w:p>
        </w:tc>
        <w:tc>
          <w:tcPr>
            <w:tcW w:w="340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eastAsia="" w:cs="Times New Roman" w:eastAsiaTheme="minorEastAsia"/>
                <w:sz w:val="24"/>
                <w:szCs w:val="24"/>
                <w:lang w:eastAsia="ru-RU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09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707,61руб</w:t>
            </w:r>
          </w:p>
        </w:tc>
      </w:tr>
      <w:tr>
        <w:trPr/>
        <w:tc>
          <w:tcPr>
            <w:tcW w:w="8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Общехозяйственные расходы</w:t>
            </w:r>
          </w:p>
        </w:tc>
        <w:tc>
          <w:tcPr>
            <w:tcW w:w="340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18,71% х 12мес</w:t>
            </w:r>
          </w:p>
        </w:tc>
        <w:tc>
          <w:tcPr>
            <w:tcW w:w="209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  <w:t>132,39</w:t>
            </w:r>
          </w:p>
        </w:tc>
      </w:tr>
      <w:tr>
        <w:trPr/>
        <w:tc>
          <w:tcPr>
            <w:tcW w:w="4077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b/>
                <w:sz w:val="24"/>
                <w:szCs w:val="24"/>
                <w:lang w:eastAsia="ru-RU"/>
              </w:rPr>
              <w:t>Итого за год</w:t>
            </w:r>
          </w:p>
        </w:tc>
        <w:tc>
          <w:tcPr>
            <w:tcW w:w="340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eastAsia="" w:cs="Times New Roman" w:eastAsiaTheme="minorEastAsia"/>
                <w:sz w:val="24"/>
                <w:szCs w:val="24"/>
                <w:lang w:eastAsia="ru-RU"/>
              </w:rPr>
            </w:pPr>
            <w:r>
              <w:rPr>
                <w:rFonts w:eastAsia="" w:cs="Times New Roman" w:eastAsiaTheme="minorEastAsia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09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" w:cs="Times New Roman" w:eastAsiaTheme="minorEastAsia" w:ascii="Times New Roman" w:hAnsi="Times New Roman"/>
                <w:b/>
                <w:sz w:val="24"/>
                <w:szCs w:val="24"/>
                <w:lang w:eastAsia="ru-RU"/>
              </w:rPr>
              <w:t>840,00</w:t>
            </w:r>
          </w:p>
        </w:tc>
      </w:tr>
    </w:tbl>
    <w:p>
      <w:pPr>
        <w:pStyle w:val="Normal"/>
        <w:spacing w:lineRule="auto" w:line="240" w:before="0" w:after="200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firstLine="567"/>
        <w:contextualSpacing/>
        <w:jc w:val="both"/>
        <w:rPr/>
      </w:pPr>
      <w:r>
        <w:rPr/>
      </w:r>
    </w:p>
    <w:sectPr>
      <w:type w:val="nextPage"/>
      <w:pgSz w:w="11906" w:h="16838"/>
      <w:pgMar w:left="1531" w:right="851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24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93919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d55b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Application>LibreOffice/5.3.0.3$Windows_X86_64 LibreOffice_project/7074905676c47b82bbcfbea1aeefc84afe1c50e1</Application>
  <Pages>5</Pages>
  <Words>911</Words>
  <Characters>6199</Characters>
  <CharactersWithSpaces>6989</CharactersWithSpaces>
  <Paragraphs>142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2017-02-01T14:49:00Z</dcterms:created>
  <dc:creator>1</dc:creator>
  <dc:description/>
  <dc:language>ru-RU</dc:language>
  <cp:lastModifiedBy/>
  <cp:lastPrinted>2021-04-05T09:35:51Z</cp:lastPrinted>
  <dcterms:modified xsi:type="dcterms:W3CDTF">2021-04-05T09:36:08Z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